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47" w:rsidRPr="00C04D47" w:rsidRDefault="00C04D47" w:rsidP="00C04D47">
      <w:pPr>
        <w:jc w:val="center"/>
        <w:rPr>
          <w:b/>
          <w:sz w:val="28"/>
          <w:szCs w:val="28"/>
          <w:u w:val="single"/>
        </w:rPr>
      </w:pPr>
      <w:r w:rsidRPr="00C04D47">
        <w:rPr>
          <w:b/>
          <w:sz w:val="28"/>
          <w:szCs w:val="28"/>
          <w:u w:val="single"/>
        </w:rPr>
        <w:t>The United Arab Emirates</w:t>
      </w:r>
      <w:bookmarkStart w:id="0" w:name="_GoBack"/>
      <w:bookmarkEnd w:id="0"/>
    </w:p>
    <w:tbl>
      <w:tblPr>
        <w:tblW w:w="11550" w:type="dxa"/>
        <w:tblCellSpacing w:w="0" w:type="dxa"/>
        <w:shd w:val="clear" w:color="auto" w:fill="FFFFFF"/>
        <w:tblCellMar>
          <w:left w:w="0" w:type="dxa"/>
          <w:right w:w="0" w:type="dxa"/>
        </w:tblCellMar>
        <w:tblLook w:val="04A0"/>
      </w:tblPr>
      <w:tblGrid>
        <w:gridCol w:w="11544"/>
        <w:gridCol w:w="6"/>
      </w:tblGrid>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 w:history="1">
              <w:r w:rsidR="000A2CDD" w:rsidRPr="000A2CDD">
                <w:rPr>
                  <w:rStyle w:val="Hyperlink"/>
                  <w:b/>
                  <w:bCs/>
                </w:rPr>
                <w:t>Background</w:t>
              </w:r>
            </w:hyperlink>
            <w:r w:rsidR="000A2CDD" w:rsidRPr="000A2CDD">
              <w:rPr>
                <w:b/>
                <w:bCs/>
              </w:rPr>
              <w:t>:</w:t>
            </w:r>
          </w:p>
        </w:tc>
        <w:tc>
          <w:tcPr>
            <w:tcW w:w="0" w:type="auto"/>
            <w:shd w:val="clear" w:color="auto" w:fill="FFFFFF"/>
            <w:vAlign w:val="center"/>
            <w:hideMark/>
          </w:tcPr>
          <w:p w:rsidR="000A2CDD" w:rsidRPr="000A2CDD" w:rsidRDefault="000A2CDD" w:rsidP="000A2CDD"/>
        </w:tc>
      </w:tr>
      <w:tr w:rsidR="000A2CDD" w:rsidRPr="000A2CDD" w:rsidTr="000A2CDD">
        <w:trPr>
          <w:tblCellSpacing w:w="0" w:type="dxa"/>
        </w:trPr>
        <w:tc>
          <w:tcPr>
            <w:tcW w:w="0" w:type="auto"/>
            <w:gridSpan w:val="2"/>
            <w:shd w:val="clear" w:color="auto" w:fill="FFFFFF"/>
            <w:vAlign w:val="center"/>
            <w:hideMark/>
          </w:tcPr>
          <w:p w:rsidR="000A2CDD" w:rsidRDefault="000A2CDD" w:rsidP="000A2CDD">
            <w:r w:rsidRPr="000A2CDD">
              <w:t xml:space="preserve">The Trucial States of the Persian Gulf coast granted the UK control of their defense and foreign affairs in 19th century treaties. In 1971, six of these states - Abu Dhabi, 'Ajman, Al </w:t>
            </w:r>
            <w:proofErr w:type="spellStart"/>
            <w:r w:rsidRPr="000A2CDD">
              <w:t>Fujayrah</w:t>
            </w:r>
            <w:proofErr w:type="spellEnd"/>
            <w:r w:rsidRPr="000A2CDD">
              <w:t xml:space="preserve">, Ash </w:t>
            </w:r>
            <w:proofErr w:type="spellStart"/>
            <w:r w:rsidRPr="000A2CDD">
              <w:t>Shariqah</w:t>
            </w:r>
            <w:proofErr w:type="spellEnd"/>
            <w:r w:rsidRPr="000A2CDD">
              <w:t xml:space="preserve">, </w:t>
            </w:r>
            <w:proofErr w:type="spellStart"/>
            <w:r w:rsidRPr="000A2CDD">
              <w:t>Dubayy</w:t>
            </w:r>
            <w:proofErr w:type="spellEnd"/>
            <w:r w:rsidRPr="000A2CDD">
              <w:t xml:space="preserve">, and Umm al </w:t>
            </w:r>
            <w:proofErr w:type="spellStart"/>
            <w:r w:rsidRPr="000A2CDD">
              <w:t>Qaywayn</w:t>
            </w:r>
            <w:proofErr w:type="spellEnd"/>
            <w:r w:rsidRPr="000A2CDD">
              <w:t xml:space="preserve"> - merged to form the United Arab Emirates (UAE). They were joined in 1972 by Ra's al Khaymah. The UAE's per capita GDP is on par with those of leading West European nations. Its high oil revenues and its moderate foreign policy stance have allowed the UAE to play a vital role in the affairs of the region. For more than three decades, oil and global finance drove the UAE's economy. However, in 2008-09, the confluence of falling oil prices, collapsing real estate prices, and the international banking crisis hit the UAE especially hard. The UAE has essentially avoided the "Arab Spring" unrest seen elsewhere in the Middle East, though in March 2011, political activists and intellectuals signed a petition calling for greater public participation in governance that was widely circulated on the Internet. In an effort to stem potential further unrest, the government announced a multi-year, $1.6-billion infrastructure investment plan for the poorer northern emirates and aggressively pursued advocates of political reform.</w:t>
            </w:r>
          </w:p>
          <w:p w:rsidR="000A2CDD" w:rsidRPr="000A2CDD" w:rsidRDefault="000A2CDD" w:rsidP="000A2CDD">
            <w:r>
              <w:rPr>
                <w:noProof/>
              </w:rPr>
              <w:drawing>
                <wp:inline distT="0" distB="0" distL="0" distR="0">
                  <wp:extent cx="6057900" cy="30956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e-map.g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7900" cy="3095625"/>
                          </a:xfrm>
                          <a:prstGeom prst="rect">
                            <a:avLst/>
                          </a:prstGeom>
                        </pic:spPr>
                      </pic:pic>
                    </a:graphicData>
                  </a:graphic>
                </wp:inline>
              </w:drawing>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6" w:history="1">
              <w:r w:rsidR="000A2CDD" w:rsidRPr="000A2CDD">
                <w:rPr>
                  <w:rStyle w:val="Hyperlink"/>
                  <w:b/>
                  <w:bCs/>
                </w:rPr>
                <w:t>Location</w:t>
              </w:r>
            </w:hyperlink>
            <w:r w:rsidR="000A2CDD" w:rsidRPr="000A2CDD">
              <w:rPr>
                <w:b/>
                <w:bCs/>
              </w:rPr>
              <w:t>:</w:t>
            </w:r>
          </w:p>
        </w:tc>
        <w:tc>
          <w:tcPr>
            <w:tcW w:w="0" w:type="auto"/>
            <w:shd w:val="clear" w:color="auto" w:fill="FFFFFF"/>
            <w:vAlign w:val="center"/>
            <w:hideMark/>
          </w:tcPr>
          <w:p w:rsidR="000A2CDD" w:rsidRPr="000A2CDD" w:rsidRDefault="000A2CDD" w:rsidP="000A2CDD"/>
        </w:tc>
      </w:tr>
      <w:tr w:rsidR="000A2CDD" w:rsidRPr="000A2CDD" w:rsidTr="000A2CDD">
        <w:trPr>
          <w:tblCellSpacing w:w="0" w:type="dxa"/>
        </w:trPr>
        <w:tc>
          <w:tcPr>
            <w:tcW w:w="0" w:type="auto"/>
            <w:gridSpan w:val="2"/>
            <w:shd w:val="clear" w:color="auto" w:fill="FFFFFF"/>
            <w:vAlign w:val="center"/>
            <w:hideMark/>
          </w:tcPr>
          <w:p w:rsidR="000A2CDD" w:rsidRPr="000A2CDD" w:rsidRDefault="000A2CDD" w:rsidP="000A2CDD">
            <w:r w:rsidRPr="000A2CDD">
              <w:t>Middle East, bordering the Gulf of Oman and the Persian Gulf, between Oman and Saudi Arabia</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7" w:history="1">
              <w:r w:rsidR="000A2CDD" w:rsidRPr="000A2CDD">
                <w:rPr>
                  <w:rStyle w:val="Hyperlink"/>
                  <w:b/>
                  <w:bCs/>
                </w:rPr>
                <w:t>Climate: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desert; cooler in eastern mountains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8" w:history="1">
              <w:r w:rsidR="000A2CDD" w:rsidRPr="000A2CDD">
                <w:rPr>
                  <w:rStyle w:val="Hyperlink"/>
                  <w:b/>
                  <w:bCs/>
                </w:rPr>
                <w:t>Terrain:</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flat, barren coastal plain merging into rolling sand dunes of vast desert wasteland; mountains in east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9" w:history="1">
              <w:r w:rsidR="000A2CDD" w:rsidRPr="000A2CDD">
                <w:rPr>
                  <w:rStyle w:val="Hyperlink"/>
                  <w:b/>
                  <w:bCs/>
                </w:rPr>
                <w:t>Natural resources: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petroleum, natural gas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0" w:history="1">
              <w:r w:rsidR="000A2CDD" w:rsidRPr="000A2CDD">
                <w:rPr>
                  <w:rStyle w:val="Hyperlink"/>
                  <w:b/>
                  <w:bCs/>
                </w:rPr>
                <w:t>Natural hazards: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frequent sand and dust storms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1" w:history="1">
              <w:r w:rsidR="000A2CDD" w:rsidRPr="000A2CDD">
                <w:rPr>
                  <w:rStyle w:val="Hyperlink"/>
                  <w:b/>
                  <w:bCs/>
                </w:rPr>
                <w:t>Environment - current issues: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lastRenderedPageBreak/>
              <w:t>lack of natural freshwater resources compensated by desalination plants; desertification; beach pollution from oil spills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2" w:history="1">
              <w:r w:rsidR="000A2CDD" w:rsidRPr="000A2CDD">
                <w:rPr>
                  <w:rStyle w:val="Hyperlink"/>
                  <w:b/>
                  <w:bCs/>
                </w:rPr>
                <w:t>Geography - note: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strategic location along southern approaches to Strait of Hormuz, a vital transit point for world crude oil</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3" w:history="1">
              <w:r w:rsidR="000A2CDD" w:rsidRPr="000A2CDD">
                <w:rPr>
                  <w:rStyle w:val="Hyperlink"/>
                  <w:b/>
                  <w:bCs/>
                </w:rPr>
                <w:t>Ethnic groups: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Emirati 19%, other Arab and Iranian 23%, South Asian 50%, other expatriates (includes Westerners and East Asians) 8% (1982)</w:t>
            </w:r>
          </w:p>
          <w:p w:rsidR="000A2CDD" w:rsidRPr="000A2CDD" w:rsidRDefault="000A2CDD" w:rsidP="000A2CDD">
            <w:pPr>
              <w:rPr>
                <w:b/>
                <w:bCs/>
              </w:rPr>
            </w:pPr>
            <w:r w:rsidRPr="000A2CDD">
              <w:rPr>
                <w:b/>
                <w:bCs/>
                <w:i/>
                <w:iCs/>
              </w:rPr>
              <w:t>note:</w:t>
            </w:r>
            <w:r w:rsidRPr="000A2CDD">
              <w:rPr>
                <w:b/>
                <w:bCs/>
              </w:rPr>
              <w:t> </w:t>
            </w:r>
            <w:r w:rsidRPr="000A2CDD">
              <w:t>less than 20% are UAE citizens (1982)</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pPr>
              <w:rPr>
                <w:b/>
                <w:bCs/>
              </w:rPr>
            </w:pPr>
          </w:p>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4" w:history="1">
              <w:r w:rsidR="000A2CDD" w:rsidRPr="000A2CDD">
                <w:rPr>
                  <w:rStyle w:val="Hyperlink"/>
                  <w:b/>
                  <w:bCs/>
                </w:rPr>
                <w:t>Languages: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Arabic (official), Persian, English, Hindi, Urdu</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5" w:history="1">
              <w:r w:rsidR="000A2CDD" w:rsidRPr="000A2CDD">
                <w:rPr>
                  <w:rStyle w:val="Hyperlink"/>
                  <w:b/>
                  <w:bCs/>
                </w:rPr>
                <w:t>Religions: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Muslim (Islam - official) 96% (Shia 16%), other (includes Christian, Hindu) 4%</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6" w:history="1">
              <w:r w:rsidR="000A2CDD" w:rsidRPr="000A2CDD">
                <w:rPr>
                  <w:rStyle w:val="Hyperlink"/>
                  <w:b/>
                  <w:bCs/>
                </w:rPr>
                <w:t>Population:</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5,473,972 (July 2013 est.)</w:t>
            </w:r>
          </w:p>
          <w:p w:rsidR="000A2CDD" w:rsidRPr="000A2CDD" w:rsidRDefault="000A2CDD" w:rsidP="000A2CDD">
            <w:r w:rsidRPr="000A2CDD">
              <w:rPr>
                <w:b/>
                <w:bCs/>
              </w:rPr>
              <w:t>country comparison to the world:</w:t>
            </w:r>
            <w:r w:rsidRPr="000A2CDD">
              <w:t> </w:t>
            </w:r>
            <w:hyperlink r:id="rId17" w:anchor="ae" w:history="1">
              <w:r w:rsidRPr="000A2CDD">
                <w:rPr>
                  <w:rStyle w:val="Hyperlink"/>
                </w:rPr>
                <w:t>115</w:t>
              </w:r>
            </w:hyperlink>
          </w:p>
          <w:p w:rsidR="000A2CDD" w:rsidRPr="000A2CDD" w:rsidRDefault="000A2CDD" w:rsidP="000A2CDD">
            <w:pPr>
              <w:rPr>
                <w:b/>
                <w:bCs/>
              </w:rPr>
            </w:pPr>
            <w:r w:rsidRPr="000A2CDD">
              <w:rPr>
                <w:b/>
                <w:bCs/>
                <w:i/>
                <w:iCs/>
              </w:rPr>
              <w:t>note:</w:t>
            </w:r>
            <w:r w:rsidRPr="000A2CDD">
              <w:rPr>
                <w:b/>
                <w:bCs/>
              </w:rPr>
              <w:t> </w:t>
            </w:r>
            <w:r w:rsidRPr="000A2CDD">
              <w:t>estimate is based on the results of the 2005 census that included a significantly higher estimate of net immigration of non-citizens than previous estimates</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pPr>
              <w:rPr>
                <w:b/>
                <w:bCs/>
              </w:rPr>
            </w:pPr>
          </w:p>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18" w:history="1">
              <w:r w:rsidR="000A2CDD" w:rsidRPr="000A2CDD">
                <w:rPr>
                  <w:rStyle w:val="Hyperlink"/>
                  <w:b/>
                  <w:bCs/>
                </w:rPr>
                <w:t>Age structure: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0-14 years: </w:t>
            </w:r>
            <w:r w:rsidRPr="000A2CDD">
              <w:t>20.6% (male 577,599/female 551,346)</w:t>
            </w:r>
          </w:p>
          <w:p w:rsidR="000A2CDD" w:rsidRPr="000A2CDD" w:rsidRDefault="000A2CDD" w:rsidP="000A2CDD">
            <w:pPr>
              <w:rPr>
                <w:b/>
                <w:bCs/>
              </w:rPr>
            </w:pPr>
            <w:r w:rsidRPr="000A2CDD">
              <w:rPr>
                <w:b/>
                <w:bCs/>
              </w:rPr>
              <w:t>15-24 years: </w:t>
            </w:r>
            <w:r w:rsidRPr="000A2CDD">
              <w:t>13.8% (male 449,258/female 306,410)</w:t>
            </w:r>
          </w:p>
          <w:p w:rsidR="000A2CDD" w:rsidRPr="000A2CDD" w:rsidRDefault="000A2CDD" w:rsidP="000A2CDD">
            <w:pPr>
              <w:rPr>
                <w:b/>
                <w:bCs/>
              </w:rPr>
            </w:pPr>
            <w:r w:rsidRPr="000A2CDD">
              <w:rPr>
                <w:b/>
                <w:bCs/>
              </w:rPr>
              <w:t>25-54 years: </w:t>
            </w:r>
            <w:r w:rsidRPr="000A2CDD">
              <w:t>61.5% (male 2,570,054/female 798,070)</w:t>
            </w:r>
          </w:p>
          <w:p w:rsidR="000A2CDD" w:rsidRPr="000A2CDD" w:rsidRDefault="000A2CDD" w:rsidP="000A2CDD">
            <w:pPr>
              <w:rPr>
                <w:b/>
                <w:bCs/>
              </w:rPr>
            </w:pPr>
            <w:r w:rsidRPr="000A2CDD">
              <w:rPr>
                <w:b/>
                <w:bCs/>
              </w:rPr>
              <w:t>55-64 years: </w:t>
            </w:r>
            <w:r w:rsidRPr="000A2CDD">
              <w:t>3.1% (male 127,569/female 40,996)</w:t>
            </w:r>
          </w:p>
          <w:p w:rsidR="000A2CDD" w:rsidRPr="000A2CDD" w:rsidRDefault="000A2CDD" w:rsidP="000A2CDD">
            <w:pPr>
              <w:rPr>
                <w:b/>
                <w:bCs/>
              </w:rPr>
            </w:pPr>
            <w:r w:rsidRPr="000A2CDD">
              <w:rPr>
                <w:b/>
                <w:bCs/>
              </w:rPr>
              <w:t>65 years and over: </w:t>
            </w:r>
            <w:r w:rsidRPr="000A2CDD">
              <w:t>1% (male 33,481/female 19,189) (2013 est.)</w:t>
            </w:r>
          </w:p>
          <w:p w:rsidR="000A2CDD" w:rsidRPr="000A2CDD" w:rsidRDefault="000A2CDD" w:rsidP="000A2CDD">
            <w:pPr>
              <w:rPr>
                <w:b/>
                <w:bCs/>
              </w:rPr>
            </w:pPr>
            <w:r w:rsidRPr="000A2CDD">
              <w:rPr>
                <w:b/>
                <w:bCs/>
              </w:rPr>
              <w:t>population pyramid: </w:t>
            </w:r>
            <w:r w:rsidRPr="000A2CDD">
              <w:rPr>
                <w:b/>
                <w:bCs/>
                <w:noProof/>
              </w:rPr>
              <w:drawing>
                <wp:inline distT="0" distB="0" distL="0" distR="0">
                  <wp:extent cx="371475" cy="257175"/>
                  <wp:effectExtent l="0" t="0" r="9525" b="9525"/>
                  <wp:docPr id="10" name="Picture 10" descr="https://www.cia.gov/library/publications/the-world-factbook/graphics/poppyramid_icon.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ae" descr="https://www.cia.gov/library/publications/the-world-factbook/graphics/poppyramid_icon.jpg">
                            <a:hlinkClick r:id="rId19" tooltip="&quot;&quot;"/>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1" w:history="1">
              <w:r w:rsidR="000A2CDD" w:rsidRPr="000A2CDD">
                <w:rPr>
                  <w:rStyle w:val="Hyperlink"/>
                  <w:b/>
                  <w:bCs/>
                </w:rPr>
                <w:t>Population growth rate: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2.87% (2013 est.)</w:t>
            </w:r>
          </w:p>
          <w:p w:rsidR="000A2CDD" w:rsidRPr="000A2CDD" w:rsidRDefault="000A2CDD" w:rsidP="000A2CDD">
            <w:r w:rsidRPr="000A2CDD">
              <w:rPr>
                <w:b/>
                <w:bCs/>
              </w:rPr>
              <w:t>country comparison to the world:</w:t>
            </w:r>
            <w:r w:rsidRPr="000A2CDD">
              <w:t> </w:t>
            </w:r>
            <w:hyperlink r:id="rId22" w:anchor="ae" w:history="1">
              <w:r w:rsidRPr="000A2CDD">
                <w:rPr>
                  <w:rStyle w:val="Hyperlink"/>
                </w:rPr>
                <w:t>14</w:t>
              </w:r>
            </w:hyperlink>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3" w:history="1">
              <w:r w:rsidR="000A2CDD" w:rsidRPr="000A2CDD">
                <w:rPr>
                  <w:rStyle w:val="Hyperlink"/>
                  <w:b/>
                  <w:bCs/>
                </w:rPr>
                <w:t>Urbanization:</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urban population: </w:t>
            </w:r>
            <w:r w:rsidRPr="000A2CDD">
              <w:t>84.4% of total population (2011)</w:t>
            </w:r>
          </w:p>
          <w:p w:rsidR="000A2CDD" w:rsidRPr="000A2CDD" w:rsidRDefault="000A2CDD" w:rsidP="000A2CDD">
            <w:pPr>
              <w:rPr>
                <w:b/>
                <w:bCs/>
              </w:rPr>
            </w:pPr>
            <w:proofErr w:type="gramStart"/>
            <w:r w:rsidRPr="000A2CDD">
              <w:rPr>
                <w:b/>
                <w:bCs/>
              </w:rPr>
              <w:t>rate</w:t>
            </w:r>
            <w:proofErr w:type="gramEnd"/>
            <w:r w:rsidRPr="000A2CDD">
              <w:rPr>
                <w:b/>
                <w:bCs/>
              </w:rPr>
              <w:t xml:space="preserve"> of urbanization: </w:t>
            </w:r>
            <w:r w:rsidRPr="000A2CDD">
              <w:t>2.52% annual rate of change (2010-15 est.)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4" w:history="1">
              <w:r w:rsidR="000A2CDD" w:rsidRPr="000A2CDD">
                <w:rPr>
                  <w:rStyle w:val="Hyperlink"/>
                  <w:b/>
                  <w:bCs/>
                </w:rPr>
                <w:t>Literacy:</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definition: </w:t>
            </w:r>
            <w:r w:rsidRPr="000A2CDD">
              <w:t>age 15 and over can read and write</w:t>
            </w:r>
          </w:p>
          <w:p w:rsidR="000A2CDD" w:rsidRPr="000A2CDD" w:rsidRDefault="000A2CDD" w:rsidP="000A2CDD">
            <w:pPr>
              <w:rPr>
                <w:b/>
                <w:bCs/>
              </w:rPr>
            </w:pPr>
            <w:r w:rsidRPr="000A2CDD">
              <w:rPr>
                <w:b/>
                <w:bCs/>
              </w:rPr>
              <w:lastRenderedPageBreak/>
              <w:t>total population: </w:t>
            </w:r>
            <w:r w:rsidRPr="000A2CDD">
              <w:t>90%</w:t>
            </w:r>
          </w:p>
          <w:p w:rsidR="000A2CDD" w:rsidRPr="000A2CDD" w:rsidRDefault="000A2CDD" w:rsidP="000A2CDD">
            <w:pPr>
              <w:rPr>
                <w:b/>
                <w:bCs/>
              </w:rPr>
            </w:pPr>
            <w:r w:rsidRPr="000A2CDD">
              <w:rPr>
                <w:b/>
                <w:bCs/>
              </w:rPr>
              <w:t>male: </w:t>
            </w:r>
            <w:r w:rsidRPr="000A2CDD">
              <w:t>89.5%</w:t>
            </w:r>
          </w:p>
          <w:p w:rsidR="000A2CDD" w:rsidRPr="000A2CDD" w:rsidRDefault="000A2CDD" w:rsidP="000A2CDD">
            <w:pPr>
              <w:rPr>
                <w:b/>
                <w:bCs/>
              </w:rPr>
            </w:pPr>
            <w:proofErr w:type="gramStart"/>
            <w:r w:rsidRPr="000A2CDD">
              <w:rPr>
                <w:b/>
                <w:bCs/>
              </w:rPr>
              <w:t>female</w:t>
            </w:r>
            <w:proofErr w:type="gramEnd"/>
            <w:r w:rsidRPr="000A2CDD">
              <w:rPr>
                <w:b/>
                <w:bCs/>
              </w:rPr>
              <w:t>: </w:t>
            </w:r>
            <w:r w:rsidRPr="000A2CDD">
              <w:t>91.5% (2005 est.)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5" w:history="1">
              <w:r w:rsidR="000A2CDD" w:rsidRPr="000A2CDD">
                <w:rPr>
                  <w:rStyle w:val="Hyperlink"/>
                  <w:b/>
                  <w:bCs/>
                </w:rPr>
                <w:t>Unemployment, youth ages 15-24:</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total: </w:t>
            </w:r>
            <w:r w:rsidRPr="000A2CDD">
              <w:t>12.1%</w:t>
            </w:r>
          </w:p>
          <w:p w:rsidR="000A2CDD" w:rsidRPr="000A2CDD" w:rsidRDefault="000A2CDD" w:rsidP="000A2CDD">
            <w:r w:rsidRPr="000A2CDD">
              <w:rPr>
                <w:b/>
                <w:bCs/>
              </w:rPr>
              <w:t>country comparison to the world:</w:t>
            </w:r>
            <w:r w:rsidRPr="000A2CDD">
              <w:t> </w:t>
            </w:r>
            <w:hyperlink r:id="rId26" w:anchor="ae" w:history="1">
              <w:r w:rsidRPr="000A2CDD">
                <w:rPr>
                  <w:rStyle w:val="Hyperlink"/>
                </w:rPr>
                <w:t>99</w:t>
              </w:r>
            </w:hyperlink>
          </w:p>
          <w:p w:rsidR="000A2CDD" w:rsidRPr="000A2CDD" w:rsidRDefault="000A2CDD" w:rsidP="000A2CDD">
            <w:pPr>
              <w:rPr>
                <w:b/>
                <w:bCs/>
              </w:rPr>
            </w:pPr>
            <w:r w:rsidRPr="000A2CDD">
              <w:rPr>
                <w:b/>
                <w:bCs/>
              </w:rPr>
              <w:t>male: </w:t>
            </w:r>
            <w:r w:rsidRPr="000A2CDD">
              <w:t>7.9%</w:t>
            </w:r>
          </w:p>
          <w:p w:rsidR="000A2CDD" w:rsidRPr="000A2CDD" w:rsidRDefault="000A2CDD" w:rsidP="000A2CDD">
            <w:pPr>
              <w:rPr>
                <w:b/>
                <w:bCs/>
              </w:rPr>
            </w:pPr>
            <w:r w:rsidRPr="000A2CDD">
              <w:rPr>
                <w:b/>
                <w:bCs/>
              </w:rPr>
              <w:t>female: </w:t>
            </w:r>
            <w:r w:rsidRPr="000A2CDD">
              <w:t>21.8% (2008)</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7" w:history="1">
              <w:r w:rsidR="000A2CDD" w:rsidRPr="000A2CDD">
                <w:rPr>
                  <w:rStyle w:val="Hyperlink"/>
                  <w:b/>
                  <w:bCs/>
                </w:rPr>
                <w:t>Government type: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federation with specified powers delegated to the UAE federal government and other powers reserved to member emirates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8" w:history="1">
              <w:r w:rsidR="000A2CDD" w:rsidRPr="000A2CDD">
                <w:rPr>
                  <w:rStyle w:val="Hyperlink"/>
                  <w:b/>
                  <w:bCs/>
                </w:rPr>
                <w:t>Capital:</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name: </w:t>
            </w:r>
            <w:r w:rsidRPr="000A2CDD">
              <w:t>Abu Dhabi</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29" w:history="1">
              <w:r w:rsidR="000A2CDD" w:rsidRPr="000A2CDD">
                <w:rPr>
                  <w:rStyle w:val="Hyperlink"/>
                  <w:b/>
                  <w:bCs/>
                </w:rPr>
                <w:t>Administrative divisions: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7 emirates (</w:t>
            </w:r>
            <w:proofErr w:type="spellStart"/>
            <w:r w:rsidRPr="000A2CDD">
              <w:t>imarat</w:t>
            </w:r>
            <w:proofErr w:type="spellEnd"/>
            <w:r w:rsidRPr="000A2CDD">
              <w:t xml:space="preserve">, singular - </w:t>
            </w:r>
            <w:proofErr w:type="spellStart"/>
            <w:r w:rsidRPr="000A2CDD">
              <w:t>imarah</w:t>
            </w:r>
            <w:proofErr w:type="spellEnd"/>
            <w:r w:rsidRPr="000A2CDD">
              <w:t xml:space="preserve">); Abu </w:t>
            </w:r>
            <w:proofErr w:type="spellStart"/>
            <w:r w:rsidRPr="000A2CDD">
              <w:t>Zaby</w:t>
            </w:r>
            <w:proofErr w:type="spellEnd"/>
            <w:r w:rsidRPr="000A2CDD">
              <w:t xml:space="preserve"> (Abu Dhabi), 'Ajman, Al </w:t>
            </w:r>
            <w:proofErr w:type="spellStart"/>
            <w:r w:rsidRPr="000A2CDD">
              <w:t>Fujayrah</w:t>
            </w:r>
            <w:proofErr w:type="spellEnd"/>
            <w:r w:rsidRPr="000A2CDD">
              <w:t xml:space="preserve">, Ash </w:t>
            </w:r>
            <w:proofErr w:type="spellStart"/>
            <w:r w:rsidRPr="000A2CDD">
              <w:t>Shariqah</w:t>
            </w:r>
            <w:proofErr w:type="spellEnd"/>
            <w:r w:rsidRPr="000A2CDD">
              <w:t xml:space="preserve"> (</w:t>
            </w:r>
            <w:proofErr w:type="spellStart"/>
            <w:r w:rsidRPr="000A2CDD">
              <w:t>Sharjah</w:t>
            </w:r>
            <w:proofErr w:type="spellEnd"/>
            <w:r w:rsidRPr="000A2CDD">
              <w:t xml:space="preserve">), </w:t>
            </w:r>
            <w:proofErr w:type="spellStart"/>
            <w:r w:rsidRPr="000A2CDD">
              <w:t>Dubayy</w:t>
            </w:r>
            <w:proofErr w:type="spellEnd"/>
            <w:r w:rsidRPr="000A2CDD">
              <w:t xml:space="preserve"> (Dubai), Ra's al Khaymah, Umm al </w:t>
            </w:r>
            <w:proofErr w:type="spellStart"/>
            <w:r w:rsidRPr="000A2CDD">
              <w:t>Qaywayn</w:t>
            </w:r>
            <w:proofErr w:type="spellEnd"/>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0" w:history="1">
              <w:r w:rsidR="000A2CDD" w:rsidRPr="000A2CDD">
                <w:rPr>
                  <w:rStyle w:val="Hyperlink"/>
                  <w:b/>
                  <w:bCs/>
                </w:rPr>
                <w:t>Independence: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2 December 1971 (from the UK)</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1" w:history="1">
              <w:r w:rsidR="000A2CDD" w:rsidRPr="000A2CDD">
                <w:rPr>
                  <w:rStyle w:val="Hyperlink"/>
                  <w:b/>
                  <w:bCs/>
                </w:rPr>
                <w:t>Constitution:</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previous 1971 (provisional); latest drafted in 1979, became permanent May 1996; amended 2009 (2012)</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2" w:history="1">
              <w:r w:rsidR="000A2CDD" w:rsidRPr="000A2CDD">
                <w:rPr>
                  <w:rStyle w:val="Hyperlink"/>
                  <w:b/>
                  <w:bCs/>
                </w:rPr>
                <w:t>Legal system:</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mixed legal system of Islamic law and civil law</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3" w:history="1">
              <w:r w:rsidR="000A2CDD" w:rsidRPr="000A2CDD">
                <w:rPr>
                  <w:rStyle w:val="Hyperlink"/>
                  <w:b/>
                  <w:bCs/>
                </w:rPr>
                <w:t>Suffrage: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limited; note - rulers of the seven emirates each select a proportion of voters for the Federal National Council (FNC) that together account for about 12 percent of Emirati citizens</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4" w:history="1">
              <w:r w:rsidR="000A2CDD" w:rsidRPr="000A2CDD">
                <w:rPr>
                  <w:rStyle w:val="Hyperlink"/>
                  <w:b/>
                  <w:bCs/>
                </w:rPr>
                <w:t>Executive branch:</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chief of state: </w:t>
            </w:r>
            <w:r w:rsidRPr="000A2CDD">
              <w:t xml:space="preserve">President KHALIFA bin </w:t>
            </w:r>
            <w:proofErr w:type="spellStart"/>
            <w:r w:rsidRPr="000A2CDD">
              <w:t>Zayid</w:t>
            </w:r>
            <w:proofErr w:type="spellEnd"/>
            <w:r w:rsidRPr="000A2CDD">
              <w:t xml:space="preserve"> Al-</w:t>
            </w:r>
            <w:proofErr w:type="spellStart"/>
            <w:r w:rsidRPr="000A2CDD">
              <w:t>Nuhayyan</w:t>
            </w:r>
            <w:proofErr w:type="spellEnd"/>
            <w:r w:rsidRPr="000A2CDD">
              <w:t xml:space="preserve"> (since 3 November 2004), ruler of Abu </w:t>
            </w:r>
            <w:proofErr w:type="spellStart"/>
            <w:r w:rsidRPr="000A2CDD">
              <w:t>Zaby</w:t>
            </w:r>
            <w:proofErr w:type="spellEnd"/>
            <w:r w:rsidRPr="000A2CDD">
              <w:t xml:space="preserve"> (Abu Dhabi) (since 4 November 2004); Vice President and Prime Minister MUHAMMAD BIN RASHID Al-</w:t>
            </w:r>
            <w:proofErr w:type="spellStart"/>
            <w:r w:rsidRPr="000A2CDD">
              <w:t>Maktum</w:t>
            </w:r>
            <w:proofErr w:type="spellEnd"/>
            <w:r w:rsidRPr="000A2CDD">
              <w:t xml:space="preserve"> (since 5 January 2006)</w:t>
            </w:r>
          </w:p>
          <w:p w:rsidR="000A2CDD" w:rsidRPr="000A2CDD" w:rsidRDefault="000A2CDD" w:rsidP="000A2CDD">
            <w:pPr>
              <w:rPr>
                <w:b/>
                <w:bCs/>
              </w:rPr>
            </w:pPr>
            <w:r w:rsidRPr="000A2CDD">
              <w:rPr>
                <w:b/>
                <w:bCs/>
              </w:rPr>
              <w:t>head of government: </w:t>
            </w:r>
            <w:r w:rsidRPr="000A2CDD">
              <w:t>Prime Minister Vice President MUHAMMAD BIN RASHID Al-</w:t>
            </w:r>
            <w:proofErr w:type="spellStart"/>
            <w:r w:rsidRPr="000A2CDD">
              <w:t>Maktum</w:t>
            </w:r>
            <w:proofErr w:type="spellEnd"/>
            <w:r w:rsidRPr="000A2CDD">
              <w:t xml:space="preserve"> (since 5 January 2006); Deputy Prime Ministers SAIF bin </w:t>
            </w:r>
            <w:proofErr w:type="spellStart"/>
            <w:r w:rsidRPr="000A2CDD">
              <w:t>Zayid</w:t>
            </w:r>
            <w:proofErr w:type="spellEnd"/>
            <w:r w:rsidRPr="000A2CDD">
              <w:t xml:space="preserve"> Al-</w:t>
            </w:r>
            <w:proofErr w:type="spellStart"/>
            <w:r w:rsidRPr="000A2CDD">
              <w:t>Nuhayyan</w:t>
            </w:r>
            <w:proofErr w:type="spellEnd"/>
            <w:r w:rsidRPr="000A2CDD">
              <w:t xml:space="preserve"> (since 11 May 2009) and MANSUR bin </w:t>
            </w:r>
            <w:proofErr w:type="spellStart"/>
            <w:r w:rsidRPr="000A2CDD">
              <w:t>Zayid</w:t>
            </w:r>
            <w:proofErr w:type="spellEnd"/>
            <w:r w:rsidRPr="000A2CDD">
              <w:t xml:space="preserve"> Al-</w:t>
            </w:r>
            <w:proofErr w:type="spellStart"/>
            <w:r w:rsidRPr="000A2CDD">
              <w:t>Nuhayyan</w:t>
            </w:r>
            <w:proofErr w:type="spellEnd"/>
            <w:r w:rsidRPr="000A2CDD">
              <w:t xml:space="preserve"> (since 11 May 2009)</w:t>
            </w:r>
          </w:p>
          <w:p w:rsidR="000A2CDD" w:rsidRPr="000A2CDD" w:rsidRDefault="000A2CDD" w:rsidP="000A2CDD">
            <w:pPr>
              <w:rPr>
                <w:b/>
                <w:bCs/>
              </w:rPr>
            </w:pPr>
            <w:r w:rsidRPr="000A2CDD">
              <w:rPr>
                <w:b/>
                <w:bCs/>
              </w:rPr>
              <w:t>cabinet: </w:t>
            </w:r>
            <w:r w:rsidRPr="000A2CDD">
              <w:t>Council of Ministers appointed by the president</w:t>
            </w:r>
          </w:p>
          <w:p w:rsidR="000A2CDD" w:rsidRPr="000A2CDD" w:rsidRDefault="000A2CDD" w:rsidP="000A2CDD">
            <w:r w:rsidRPr="000A2CDD">
              <w:t>(For more information visit the </w:t>
            </w:r>
            <w:hyperlink r:id="rId35" w:tgtFrame="_blank" w:history="1">
              <w:r w:rsidRPr="000A2CDD">
                <w:rPr>
                  <w:rStyle w:val="Hyperlink"/>
                </w:rPr>
                <w:t>World Leaders website</w:t>
              </w:r>
            </w:hyperlink>
            <w:r w:rsidRPr="000A2CDD">
              <w:t> </w:t>
            </w:r>
            <w:r w:rsidRPr="000A2CDD">
              <w:rPr>
                <w:noProof/>
              </w:rPr>
              <w:drawing>
                <wp:inline distT="0" distB="0" distL="0" distR="0">
                  <wp:extent cx="133350" cy="114300"/>
                  <wp:effectExtent l="0" t="0" r="0" b="0"/>
                  <wp:docPr id="31" name="Picture 31"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s in New Window"/>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14300"/>
                          </a:xfrm>
                          <a:prstGeom prst="rect">
                            <a:avLst/>
                          </a:prstGeom>
                          <a:noFill/>
                          <a:ln>
                            <a:noFill/>
                          </a:ln>
                        </pic:spPr>
                      </pic:pic>
                    </a:graphicData>
                  </a:graphic>
                </wp:inline>
              </w:drawing>
            </w:r>
            <w:r w:rsidRPr="000A2CDD">
              <w:t>)</w:t>
            </w:r>
          </w:p>
          <w:p w:rsidR="000A2CDD" w:rsidRPr="000A2CDD" w:rsidRDefault="000A2CDD" w:rsidP="000A2CDD">
            <w:pPr>
              <w:rPr>
                <w:b/>
                <w:bCs/>
              </w:rPr>
            </w:pPr>
            <w:r w:rsidRPr="000A2CDD">
              <w:rPr>
                <w:b/>
                <w:bCs/>
                <w:i/>
                <w:iCs/>
              </w:rPr>
              <w:t>note:</w:t>
            </w:r>
            <w:r w:rsidRPr="000A2CDD">
              <w:rPr>
                <w:b/>
                <w:bCs/>
              </w:rPr>
              <w:t> </w:t>
            </w:r>
            <w:r w:rsidRPr="000A2CDD">
              <w:t xml:space="preserve">there is also a Federal Supreme Council (FSC) composed of the seven emirate rulers; the FSC is the highest constitutional authority in the UAE; establishes general policies and sanctions federal legislation; meets four times a year; Abu </w:t>
            </w:r>
            <w:proofErr w:type="spellStart"/>
            <w:r w:rsidRPr="000A2CDD">
              <w:t>Zaby</w:t>
            </w:r>
            <w:proofErr w:type="spellEnd"/>
            <w:r w:rsidRPr="000A2CDD">
              <w:t xml:space="preserve"> (Abu </w:t>
            </w:r>
            <w:r w:rsidRPr="000A2CDD">
              <w:lastRenderedPageBreak/>
              <w:t xml:space="preserve">Dhabi) and </w:t>
            </w:r>
            <w:proofErr w:type="spellStart"/>
            <w:r w:rsidRPr="000A2CDD">
              <w:t>Dubayy</w:t>
            </w:r>
            <w:proofErr w:type="spellEnd"/>
            <w:r w:rsidRPr="000A2CDD">
              <w:t xml:space="preserve"> (Dubai) rulers have effective veto power</w:t>
            </w:r>
          </w:p>
          <w:p w:rsidR="000A2CDD" w:rsidRPr="000A2CDD" w:rsidRDefault="000A2CDD" w:rsidP="000A2CDD">
            <w:pPr>
              <w:rPr>
                <w:b/>
                <w:bCs/>
              </w:rPr>
            </w:pPr>
            <w:r w:rsidRPr="000A2CDD">
              <w:rPr>
                <w:b/>
                <w:bCs/>
              </w:rPr>
              <w:t>elections: </w:t>
            </w:r>
            <w:r w:rsidRPr="000A2CDD">
              <w:t xml:space="preserve">president and vice president elected by the FSC for five-year terms (no term limits) from among the seven FSC members; election last held 3 November 2004 upon the death of the UAE's Founding Father and first President ZAYID bin Sultan Al </w:t>
            </w:r>
            <w:proofErr w:type="spellStart"/>
            <w:r w:rsidRPr="000A2CDD">
              <w:t>Nuhayyan</w:t>
            </w:r>
            <w:proofErr w:type="spellEnd"/>
            <w:r w:rsidRPr="000A2CDD">
              <w:t xml:space="preserve"> (next election NA); prime minister and deputy prime minister appointed by the president</w:t>
            </w:r>
          </w:p>
          <w:p w:rsidR="000A2CDD" w:rsidRPr="000A2CDD" w:rsidRDefault="000A2CDD" w:rsidP="000A2CDD">
            <w:pPr>
              <w:rPr>
                <w:b/>
                <w:bCs/>
              </w:rPr>
            </w:pPr>
            <w:r w:rsidRPr="000A2CDD">
              <w:rPr>
                <w:b/>
                <w:bCs/>
              </w:rPr>
              <w:t>election results: </w:t>
            </w:r>
            <w:r w:rsidRPr="000A2CDD">
              <w:t xml:space="preserve">KHALIFA bin </w:t>
            </w:r>
            <w:proofErr w:type="spellStart"/>
            <w:r w:rsidRPr="000A2CDD">
              <w:t>Zayid</w:t>
            </w:r>
            <w:proofErr w:type="spellEnd"/>
            <w:r w:rsidRPr="000A2CDD">
              <w:t xml:space="preserve"> Al-</w:t>
            </w:r>
            <w:proofErr w:type="spellStart"/>
            <w:r w:rsidRPr="000A2CDD">
              <w:t>Nuhayyan</w:t>
            </w:r>
            <w:proofErr w:type="spellEnd"/>
            <w:r w:rsidRPr="000A2CDD">
              <w:t xml:space="preserve"> elected president by a unanimous vote of the FSC; MUHAMMAD bin Rashid Al-</w:t>
            </w:r>
            <w:proofErr w:type="spellStart"/>
            <w:r w:rsidRPr="000A2CDD">
              <w:t>Maktum</w:t>
            </w:r>
            <w:proofErr w:type="spellEnd"/>
            <w:r w:rsidRPr="000A2CDD">
              <w:t xml:space="preserve"> unanimously affirmed vice president after the 2006 death of his brother Sheikh MAKTUM bin Rashid Al-</w:t>
            </w:r>
            <w:proofErr w:type="spellStart"/>
            <w:r w:rsidRPr="000A2CDD">
              <w:t>Maktum</w:t>
            </w:r>
            <w:proofErr w:type="spellEnd"/>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pPr>
              <w:rPr>
                <w:b/>
                <w:bCs/>
              </w:rPr>
            </w:pPr>
          </w:p>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7" w:history="1">
              <w:r w:rsidR="000A2CDD" w:rsidRPr="000A2CDD">
                <w:rPr>
                  <w:rStyle w:val="Hyperlink"/>
                  <w:b/>
                  <w:bCs/>
                </w:rPr>
                <w:t>Legislative branch:</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 xml:space="preserve">unicameral Federal National Council (FNC) or </w:t>
            </w:r>
            <w:proofErr w:type="spellStart"/>
            <w:r w:rsidRPr="000A2CDD">
              <w:t>Majlis</w:t>
            </w:r>
            <w:proofErr w:type="spellEnd"/>
            <w:r w:rsidRPr="000A2CDD">
              <w:t xml:space="preserve"> al-</w:t>
            </w:r>
            <w:proofErr w:type="spellStart"/>
            <w:r w:rsidRPr="000A2CDD">
              <w:t>Ittihad</w:t>
            </w:r>
            <w:proofErr w:type="spellEnd"/>
            <w:r w:rsidRPr="000A2CDD">
              <w:t xml:space="preserve"> al-</w:t>
            </w:r>
            <w:proofErr w:type="spellStart"/>
            <w:r w:rsidRPr="000A2CDD">
              <w:t>Watani</w:t>
            </w:r>
            <w:proofErr w:type="spellEnd"/>
            <w:r w:rsidRPr="000A2CDD">
              <w:t xml:space="preserve"> (40 seats; 20 members appointed by the rulers of the constituent states, 20 members elected to serve four-year terms)</w:t>
            </w:r>
          </w:p>
          <w:p w:rsidR="000A2CDD" w:rsidRPr="000A2CDD" w:rsidRDefault="000A2CDD" w:rsidP="000A2CDD">
            <w:pPr>
              <w:rPr>
                <w:b/>
                <w:bCs/>
              </w:rPr>
            </w:pPr>
            <w:r w:rsidRPr="000A2CDD">
              <w:rPr>
                <w:b/>
                <w:bCs/>
              </w:rPr>
              <w:t>elections: </w:t>
            </w:r>
            <w:r w:rsidRPr="000A2CDD">
              <w:t>last held on 24 September 2011 (next to be held in 2015); note - the electoral college was expanded from 6,689 voters in the December 2006 election to 129,274 in the September 2011 election; elections for candidates rather than party lists; 469 candidates including 85 women ran for 20 contested FNC seats</w:t>
            </w:r>
          </w:p>
          <w:p w:rsidR="000A2CDD" w:rsidRPr="000A2CDD" w:rsidRDefault="000A2CDD" w:rsidP="000A2CDD">
            <w:pPr>
              <w:rPr>
                <w:b/>
                <w:bCs/>
              </w:rPr>
            </w:pPr>
            <w:r w:rsidRPr="000A2CDD">
              <w:rPr>
                <w:b/>
                <w:bCs/>
              </w:rPr>
              <w:t>election results: </w:t>
            </w:r>
            <w:r w:rsidRPr="000A2CDD">
              <w:t xml:space="preserve">elected seats by emirate - Abu Dhabi 4, Dubai 4, </w:t>
            </w:r>
            <w:proofErr w:type="spellStart"/>
            <w:r w:rsidRPr="000A2CDD">
              <w:t>Sharjah</w:t>
            </w:r>
            <w:proofErr w:type="spellEnd"/>
            <w:r w:rsidRPr="000A2CDD">
              <w:t xml:space="preserve"> 3, </w:t>
            </w:r>
            <w:proofErr w:type="spellStart"/>
            <w:r w:rsidRPr="000A2CDD">
              <w:t>Ras</w:t>
            </w:r>
            <w:proofErr w:type="spellEnd"/>
            <w:r w:rsidRPr="000A2CDD">
              <w:t xml:space="preserve"> al-</w:t>
            </w:r>
            <w:proofErr w:type="spellStart"/>
            <w:r w:rsidRPr="000A2CDD">
              <w:t>Khaimah</w:t>
            </w:r>
            <w:proofErr w:type="spellEnd"/>
            <w:r w:rsidRPr="000A2CDD">
              <w:t xml:space="preserve"> 3, Ajman 2, Fujairah 2, Umm al-</w:t>
            </w:r>
            <w:proofErr w:type="spellStart"/>
            <w:r w:rsidRPr="000A2CDD">
              <w:t>Quwain</w:t>
            </w:r>
            <w:proofErr w:type="spellEnd"/>
            <w:r w:rsidRPr="000A2CDD">
              <w:t xml:space="preserve"> 2; note - number of appointed seats for each emirate are same as elected seats</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pPr>
              <w:rPr>
                <w:b/>
                <w:bCs/>
              </w:rPr>
            </w:pPr>
          </w:p>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8" w:history="1">
              <w:r w:rsidR="000A2CDD" w:rsidRPr="000A2CDD">
                <w:rPr>
                  <w:rStyle w:val="Hyperlink"/>
                  <w:b/>
                  <w:bCs/>
                </w:rPr>
                <w:t>Judicial branch:</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highest court(s): </w:t>
            </w:r>
            <w:r w:rsidRPr="000A2CDD">
              <w:t>Federal Supreme Court (consists of the court president and 4 judges)</w:t>
            </w:r>
          </w:p>
          <w:p w:rsidR="000A2CDD" w:rsidRPr="000A2CDD" w:rsidRDefault="000A2CDD" w:rsidP="000A2CDD">
            <w:pPr>
              <w:rPr>
                <w:b/>
                <w:bCs/>
              </w:rPr>
            </w:pPr>
            <w:r w:rsidRPr="000A2CDD">
              <w:rPr>
                <w:b/>
                <w:bCs/>
              </w:rPr>
              <w:t>judge selection and term of office: </w:t>
            </w:r>
            <w:r w:rsidRPr="000A2CDD">
              <w:t>judges appointed by the federal president following approval by the Federal Supreme Council, which includes the rulers of the 7 emirates; judge term NA</w:t>
            </w:r>
          </w:p>
          <w:p w:rsidR="000A2CDD" w:rsidRPr="000A2CDD" w:rsidRDefault="000A2CDD" w:rsidP="000A2CDD">
            <w:pPr>
              <w:rPr>
                <w:b/>
                <w:bCs/>
              </w:rPr>
            </w:pPr>
            <w:r w:rsidRPr="000A2CDD">
              <w:rPr>
                <w:b/>
                <w:bCs/>
              </w:rPr>
              <w:t>subordinate courts: </w:t>
            </w:r>
            <w:r w:rsidRPr="000A2CDD">
              <w:t>Federal Court of Cassation (determines the constitutionality of laws promulgated at the federal and local (emirate) levels; federal level courts of first instance and appeals courts; each emirate has its own court system</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pPr>
              <w:rPr>
                <w:b/>
                <w:bCs/>
              </w:rPr>
            </w:pPr>
          </w:p>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39" w:history="1">
              <w:r w:rsidR="000A2CDD" w:rsidRPr="000A2CDD">
                <w:rPr>
                  <w:rStyle w:val="Hyperlink"/>
                  <w:b/>
                  <w:bCs/>
                </w:rPr>
                <w:t>Political parties and leaders: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none; political parties are not allowed</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0" w:history="1">
              <w:r w:rsidR="000A2CDD" w:rsidRPr="000A2CDD">
                <w:rPr>
                  <w:rStyle w:val="Hyperlink"/>
                  <w:b/>
                  <w:bCs/>
                </w:rPr>
                <w:t>Economy - overview</w:t>
              </w:r>
            </w:hyperlink>
            <w:r w:rsidR="000A2CDD" w:rsidRPr="000A2CDD">
              <w:rPr>
                <w:b/>
                <w:bCs/>
              </w:rPr>
              <w:t>:</w:t>
            </w:r>
          </w:p>
        </w:tc>
        <w:tc>
          <w:tcPr>
            <w:tcW w:w="0" w:type="auto"/>
            <w:shd w:val="clear" w:color="auto" w:fill="FFFFFF"/>
            <w:vAlign w:val="center"/>
            <w:hideMark/>
          </w:tcPr>
          <w:p w:rsidR="000A2CDD" w:rsidRPr="000A2CDD" w:rsidRDefault="000A2CDD" w:rsidP="000A2CDD"/>
        </w:tc>
      </w:tr>
      <w:tr w:rsidR="000A2CDD" w:rsidRPr="000A2CDD" w:rsidTr="000A2CDD">
        <w:trPr>
          <w:tblCellSpacing w:w="0" w:type="dxa"/>
        </w:trPr>
        <w:tc>
          <w:tcPr>
            <w:tcW w:w="0" w:type="auto"/>
            <w:gridSpan w:val="2"/>
            <w:shd w:val="clear" w:color="auto" w:fill="FFFFFF"/>
            <w:vAlign w:val="center"/>
            <w:hideMark/>
          </w:tcPr>
          <w:p w:rsidR="000A2CDD" w:rsidRDefault="000A2CDD" w:rsidP="000A2CDD">
            <w:r w:rsidRPr="000A2CDD">
              <w:t>The UAE has an open economy with a high per capita income and a sizable annual trade surplus. Successful efforts at economic diversification have reduced the portion of GDP based on oil and gas output to 25%. Since the discovery of oil in the UAE more than 30 years ago, the country has undergone a profound transformation from an impoverished region of small desert principalities to a modern state with a high standard of living. The government has increased spending on job creation and infrastructure expansion and is opening up utilities to greater private sector involvement. In April 2004, the UAE signed a Trade and Investment Framework Agreement with Washington and in November 2004 agreed to undertake negotiations toward a Free Trade Agreement with the US; however, those talks have not moved forward. The country's Free Trade Zones - offering 100% foreign ownership and zero taxes - are helping to attract foreign investors. The global financial crisis, tight international credit, and deflated asset prices constricted the economy in 2009. UAE authorities tried to blunt the crisis by increasing spending and boosting liquidity in the banking sector. The crisis hit Dubai hardest, as it was heavily exposed to depressed real estate prices. Dubai lacked sufficient cash to meet its debt obligations, prompting global concern about its solvency. The UAE Central Bank and Abu Dhabi-based banks bought the largest shares. In December 2009 Dubai received an additional $10 billion loan from the emirate of Abu Dhabi. Dependence on oil, a large expatriate workforce, and growing inflation pressures are significant long-term challenges. The UAE's strategic plan for the next few years focuses on diversification and creating more opportunities for nationals through improved education and increased private sector employment.</w:t>
            </w:r>
          </w:p>
          <w:p w:rsidR="00C04D47" w:rsidRPr="000A2CDD" w:rsidRDefault="00C04D47" w:rsidP="000A2CDD"/>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tc>
        <w:tc>
          <w:tcPr>
            <w:tcW w:w="0" w:type="auto"/>
            <w:shd w:val="clear" w:color="auto" w:fill="FFFFFF"/>
            <w:vAlign w:val="center"/>
            <w:hideMark/>
          </w:tcPr>
          <w:p w:rsidR="000A2CDD" w:rsidRPr="000A2CDD" w:rsidRDefault="000A2CDD" w:rsidP="000A2CDD"/>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1" w:history="1">
              <w:r w:rsidR="000A2CDD" w:rsidRPr="000A2CDD">
                <w:rPr>
                  <w:rStyle w:val="Hyperlink"/>
                  <w:b/>
                  <w:bCs/>
                </w:rPr>
                <w:t>GDP (purchasing power parity):</w:t>
              </w:r>
            </w:hyperlink>
          </w:p>
        </w:tc>
        <w:tc>
          <w:tcPr>
            <w:tcW w:w="0" w:type="auto"/>
            <w:shd w:val="clear" w:color="auto" w:fill="FFFFFF"/>
            <w:vAlign w:val="center"/>
            <w:hideMark/>
          </w:tcPr>
          <w:p w:rsidR="00C04D47" w:rsidRPr="000A2CDD" w:rsidRDefault="00C04D47"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$269.8 billion (2013 est.)</w:t>
            </w:r>
          </w:p>
          <w:p w:rsidR="000A2CDD" w:rsidRPr="000A2CDD" w:rsidRDefault="000A2CDD" w:rsidP="000A2CDD">
            <w:r w:rsidRPr="000A2CDD">
              <w:rPr>
                <w:b/>
                <w:bCs/>
              </w:rPr>
              <w:t>country comparison to the world:</w:t>
            </w:r>
            <w:r w:rsidRPr="000A2CDD">
              <w:t> </w:t>
            </w:r>
            <w:hyperlink r:id="rId42" w:anchor="ae" w:history="1">
              <w:r w:rsidRPr="000A2CDD">
                <w:rPr>
                  <w:rStyle w:val="Hyperlink"/>
                </w:rPr>
                <w:t>50</w:t>
              </w:r>
            </w:hyperlink>
          </w:p>
          <w:p w:rsidR="000A2CDD" w:rsidRPr="000A2CDD" w:rsidRDefault="000A2CDD" w:rsidP="000A2CDD">
            <w:r w:rsidRPr="000A2CDD">
              <w:t>$259.3 billion (2012 est.)</w:t>
            </w:r>
          </w:p>
          <w:p w:rsidR="000A2CDD" w:rsidRPr="000A2CDD" w:rsidRDefault="000A2CDD" w:rsidP="000A2CDD">
            <w:r w:rsidRPr="000A2CDD">
              <w:t>$248.5 billion (2011 est.)</w:t>
            </w:r>
          </w:p>
          <w:p w:rsidR="000A2CDD" w:rsidRPr="000A2CDD" w:rsidRDefault="000A2CDD" w:rsidP="000A2CDD">
            <w:pPr>
              <w:rPr>
                <w:b/>
                <w:bCs/>
              </w:rPr>
            </w:pPr>
            <w:r w:rsidRPr="000A2CDD">
              <w:rPr>
                <w:b/>
                <w:bCs/>
                <w:i/>
                <w:iCs/>
              </w:rPr>
              <w:t>note:</w:t>
            </w:r>
            <w:r w:rsidRPr="000A2CDD">
              <w:rPr>
                <w:b/>
                <w:bCs/>
              </w:rPr>
              <w:t> </w:t>
            </w:r>
            <w:r w:rsidRPr="000A2CDD">
              <w:t>data are in 2013 US dollars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3" w:history="1">
              <w:r w:rsidR="000A2CDD" w:rsidRPr="000A2CDD">
                <w:rPr>
                  <w:rStyle w:val="Hyperlink"/>
                  <w:b/>
                  <w:bCs/>
                </w:rPr>
                <w:t>GDP - per capita (PPP):</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$29,900 (2013 est.)</w:t>
            </w:r>
          </w:p>
          <w:p w:rsidR="000A2CDD" w:rsidRPr="000A2CDD" w:rsidRDefault="000A2CDD" w:rsidP="000A2CDD">
            <w:r w:rsidRPr="000A2CDD">
              <w:rPr>
                <w:b/>
                <w:bCs/>
              </w:rPr>
              <w:t>country comparison to the world:</w:t>
            </w:r>
            <w:r w:rsidRPr="000A2CDD">
              <w:t> </w:t>
            </w:r>
            <w:hyperlink r:id="rId44" w:anchor="ae" w:history="1">
              <w:r w:rsidRPr="000A2CDD">
                <w:rPr>
                  <w:rStyle w:val="Hyperlink"/>
                </w:rPr>
                <w:t>48</w:t>
              </w:r>
            </w:hyperlink>
          </w:p>
          <w:p w:rsidR="000A2CDD" w:rsidRPr="000A2CDD" w:rsidRDefault="000A2CDD" w:rsidP="000A2CDD">
            <w:r w:rsidRPr="000A2CDD">
              <w:t>$29,600 (2012 est.)</w:t>
            </w:r>
          </w:p>
          <w:p w:rsidR="000A2CDD" w:rsidRPr="000A2CDD" w:rsidRDefault="000A2CDD" w:rsidP="000A2CDD">
            <w:r w:rsidRPr="000A2CDD">
              <w:t>$29,200 (2011 est.)</w:t>
            </w:r>
          </w:p>
          <w:p w:rsidR="000A2CDD" w:rsidRPr="000A2CDD" w:rsidRDefault="000A2CDD" w:rsidP="000A2CDD">
            <w:pPr>
              <w:rPr>
                <w:b/>
                <w:bCs/>
              </w:rPr>
            </w:pPr>
            <w:r w:rsidRPr="000A2CDD">
              <w:rPr>
                <w:b/>
                <w:bCs/>
                <w:i/>
                <w:iCs/>
              </w:rPr>
              <w:t>note:</w:t>
            </w:r>
            <w:r w:rsidRPr="000A2CDD">
              <w:rPr>
                <w:b/>
                <w:bCs/>
              </w:rPr>
              <w:t> </w:t>
            </w:r>
            <w:r w:rsidRPr="000A2CDD">
              <w:t>data are in 2013 US dollars</w:t>
            </w:r>
          </w:p>
        </w:tc>
      </w:tr>
      <w:tr w:rsidR="000A2CDD" w:rsidRPr="000A2CDD" w:rsidTr="000A2CDD">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5" w:history="1">
              <w:r w:rsidR="000A2CDD" w:rsidRPr="000A2CDD">
                <w:rPr>
                  <w:rStyle w:val="Hyperlink"/>
                  <w:b/>
                  <w:bCs/>
                </w:rPr>
                <w:t>Agriculture - products: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dates, vegetables, watermelons; poultry, eggs, dairy products; fish</w:t>
            </w:r>
          </w:p>
        </w:tc>
      </w:tr>
      <w:tr w:rsidR="000A2CDD" w:rsidRPr="000A2CDD" w:rsidTr="000A2CDD">
        <w:trPr>
          <w:trHeight w:val="150"/>
          <w:tblCellSpacing w:w="0" w:type="dxa"/>
        </w:trPr>
        <w:tc>
          <w:tcPr>
            <w:tcW w:w="0" w:type="auto"/>
            <w:shd w:val="clear" w:color="auto" w:fill="FFFFFF"/>
            <w:vAlign w:val="center"/>
            <w:hideMark/>
          </w:tcPr>
          <w:p w:rsidR="000A2CDD" w:rsidRPr="000A2CDD" w:rsidRDefault="000A2CDD" w:rsidP="000A2CDD"/>
        </w:tc>
        <w:tc>
          <w:tcPr>
            <w:tcW w:w="0" w:type="auto"/>
            <w:shd w:val="clear" w:color="auto" w:fill="FFFFFF"/>
            <w:vAlign w:val="center"/>
            <w:hideMark/>
          </w:tcPr>
          <w:p w:rsidR="000A2CDD" w:rsidRPr="000A2CDD" w:rsidRDefault="000A2CDD" w:rsidP="000A2CDD"/>
        </w:tc>
      </w:tr>
      <w:tr w:rsidR="000A2CDD" w:rsidRPr="000A2CDD" w:rsidTr="000A2CDD">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6" w:history="1">
              <w:r w:rsidR="000A2CDD" w:rsidRPr="000A2CDD">
                <w:rPr>
                  <w:rStyle w:val="Hyperlink"/>
                  <w:b/>
                  <w:bCs/>
                </w:rPr>
                <w:t>Industries: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petroleum and petrochemicals; fishing, aluminum, cement, fertilizers, commercial ship repair, construction materials, some boat building, handicrafts, textiles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7" w:history="1">
              <w:r w:rsidR="000A2CDD" w:rsidRPr="000A2CDD">
                <w:rPr>
                  <w:rStyle w:val="Hyperlink"/>
                  <w:b/>
                  <w:bCs/>
                </w:rPr>
                <w:t>Labor force:</w:t>
              </w:r>
            </w:hyperlink>
          </w:p>
        </w:tc>
        <w:tc>
          <w:tcPr>
            <w:tcW w:w="0" w:type="auto"/>
            <w:shd w:val="clear" w:color="auto" w:fill="FFFFFF"/>
            <w:vAlign w:val="center"/>
            <w:hideMark/>
          </w:tcPr>
          <w:p w:rsidR="000A2CDD" w:rsidRPr="000A2CDD" w:rsidRDefault="000A2CDD" w:rsidP="000A2CDD"/>
        </w:tc>
      </w:tr>
      <w:tr w:rsidR="000A2CDD" w:rsidRPr="000A2CDD" w:rsidTr="00C04D47">
        <w:trPr>
          <w:trHeight w:val="1278"/>
          <w:tblCellSpacing w:w="0" w:type="dxa"/>
        </w:trPr>
        <w:tc>
          <w:tcPr>
            <w:tcW w:w="0" w:type="auto"/>
            <w:gridSpan w:val="2"/>
            <w:shd w:val="clear" w:color="auto" w:fill="FFFFFF"/>
            <w:vAlign w:val="center"/>
            <w:hideMark/>
          </w:tcPr>
          <w:p w:rsidR="000A2CDD" w:rsidRPr="000A2CDD" w:rsidRDefault="000A2CDD" w:rsidP="000A2CDD">
            <w:r w:rsidRPr="000A2CDD">
              <w:t>4.588 million</w:t>
            </w:r>
          </w:p>
          <w:p w:rsidR="000A2CDD" w:rsidRPr="000A2CDD" w:rsidRDefault="000A2CDD" w:rsidP="000A2CDD">
            <w:r w:rsidRPr="000A2CDD">
              <w:rPr>
                <w:b/>
                <w:bCs/>
              </w:rPr>
              <w:t>country comparison to the world:</w:t>
            </w:r>
            <w:r w:rsidRPr="000A2CDD">
              <w:t> </w:t>
            </w:r>
            <w:hyperlink r:id="rId48" w:anchor="ae" w:history="1">
              <w:r w:rsidRPr="000A2CDD">
                <w:rPr>
                  <w:rStyle w:val="Hyperlink"/>
                </w:rPr>
                <w:t>84</w:t>
              </w:r>
            </w:hyperlink>
          </w:p>
          <w:p w:rsidR="000A2CDD" w:rsidRPr="000A2CDD" w:rsidRDefault="000A2CDD" w:rsidP="000A2CDD">
            <w:pPr>
              <w:rPr>
                <w:b/>
                <w:bCs/>
              </w:rPr>
            </w:pPr>
            <w:proofErr w:type="gramStart"/>
            <w:r w:rsidRPr="000A2CDD">
              <w:rPr>
                <w:b/>
                <w:bCs/>
                <w:i/>
                <w:iCs/>
              </w:rPr>
              <w:t>note</w:t>
            </w:r>
            <w:proofErr w:type="gramEnd"/>
            <w:r w:rsidRPr="000A2CDD">
              <w:rPr>
                <w:b/>
                <w:bCs/>
                <w:i/>
                <w:iCs/>
              </w:rPr>
              <w:t>:</w:t>
            </w:r>
            <w:r w:rsidRPr="000A2CDD">
              <w:rPr>
                <w:b/>
                <w:bCs/>
              </w:rPr>
              <w:t> </w:t>
            </w:r>
            <w:r w:rsidRPr="000A2CDD">
              <w:t>expatriates account for about 85% of the work force (2013 est.)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49" w:history="1">
              <w:r w:rsidR="000A2CDD" w:rsidRPr="000A2CDD">
                <w:rPr>
                  <w:rStyle w:val="Hyperlink"/>
                  <w:b/>
                  <w:bCs/>
                </w:rPr>
                <w:t>Labor force - by occupation:</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pPr>
              <w:rPr>
                <w:b/>
                <w:bCs/>
              </w:rPr>
            </w:pPr>
            <w:r w:rsidRPr="000A2CDD">
              <w:rPr>
                <w:b/>
                <w:bCs/>
              </w:rPr>
              <w:t>agriculture: </w:t>
            </w:r>
            <w:r w:rsidRPr="000A2CDD">
              <w:t>7%</w:t>
            </w:r>
          </w:p>
          <w:p w:rsidR="000A2CDD" w:rsidRPr="000A2CDD" w:rsidRDefault="000A2CDD" w:rsidP="000A2CDD">
            <w:pPr>
              <w:rPr>
                <w:b/>
                <w:bCs/>
              </w:rPr>
            </w:pPr>
            <w:r w:rsidRPr="000A2CDD">
              <w:rPr>
                <w:b/>
                <w:bCs/>
              </w:rPr>
              <w:t>industry: </w:t>
            </w:r>
            <w:r w:rsidRPr="000A2CDD">
              <w:t>15%</w:t>
            </w:r>
          </w:p>
          <w:p w:rsidR="000A2CDD" w:rsidRPr="000A2CDD" w:rsidRDefault="000A2CDD" w:rsidP="000A2CDD">
            <w:pPr>
              <w:rPr>
                <w:b/>
                <w:bCs/>
              </w:rPr>
            </w:pPr>
            <w:proofErr w:type="gramStart"/>
            <w:r w:rsidRPr="000A2CDD">
              <w:rPr>
                <w:b/>
                <w:bCs/>
              </w:rPr>
              <w:t>services</w:t>
            </w:r>
            <w:proofErr w:type="gramEnd"/>
            <w:r w:rsidRPr="000A2CDD">
              <w:rPr>
                <w:b/>
                <w:bCs/>
              </w:rPr>
              <w:t>: </w:t>
            </w:r>
            <w:r w:rsidRPr="000A2CDD">
              <w:t>78% (2000 est.)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0" w:history="1">
              <w:r w:rsidR="000A2CDD" w:rsidRPr="000A2CDD">
                <w:rPr>
                  <w:rStyle w:val="Hyperlink"/>
                  <w:b/>
                  <w:bCs/>
                </w:rPr>
                <w:t>Unemployment rate: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2.4% (2001)</w:t>
            </w:r>
          </w:p>
          <w:p w:rsidR="000A2CDD" w:rsidRPr="000A2CDD" w:rsidRDefault="000A2CDD" w:rsidP="000A2CDD">
            <w:r w:rsidRPr="000A2CDD">
              <w:rPr>
                <w:b/>
                <w:bCs/>
              </w:rPr>
              <w:t>country comparison to the world:</w:t>
            </w:r>
            <w:r w:rsidRPr="000A2CDD">
              <w:t> </w:t>
            </w:r>
            <w:hyperlink r:id="rId51" w:anchor="ae" w:history="1">
              <w:r w:rsidRPr="000A2CDD">
                <w:rPr>
                  <w:rStyle w:val="Hyperlink"/>
                </w:rPr>
                <w:t>16</w:t>
              </w:r>
            </w:hyperlink>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2" w:history="1">
              <w:r w:rsidR="000A2CDD" w:rsidRPr="000A2CDD">
                <w:rPr>
                  <w:rStyle w:val="Hyperlink"/>
                  <w:b/>
                  <w:bCs/>
                </w:rPr>
                <w:t>Population below poverty line:</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19.5% (2003)</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3" w:history="1">
              <w:r w:rsidR="000A2CDD" w:rsidRPr="000A2CDD">
                <w:rPr>
                  <w:rStyle w:val="Hyperlink"/>
                  <w:b/>
                  <w:bCs/>
                </w:rPr>
                <w:t>Exports: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lastRenderedPageBreak/>
              <w:t>$368.9 billion (2013 est.)</w:t>
            </w:r>
          </w:p>
          <w:p w:rsidR="000A2CDD" w:rsidRPr="000A2CDD" w:rsidRDefault="000A2CDD" w:rsidP="000A2CDD">
            <w:r w:rsidRPr="000A2CDD">
              <w:rPr>
                <w:b/>
                <w:bCs/>
              </w:rPr>
              <w:t>country comparison to the world:</w:t>
            </w:r>
            <w:r w:rsidRPr="000A2CDD">
              <w:t> </w:t>
            </w:r>
            <w:hyperlink r:id="rId54" w:anchor="ae" w:history="1">
              <w:r w:rsidRPr="000A2CDD">
                <w:rPr>
                  <w:rStyle w:val="Hyperlink"/>
                </w:rPr>
                <w:t>18</w:t>
              </w:r>
            </w:hyperlink>
          </w:p>
          <w:p w:rsidR="000A2CDD" w:rsidRPr="000A2CDD" w:rsidRDefault="000A2CDD" w:rsidP="000A2CDD">
            <w:r w:rsidRPr="000A2CDD">
              <w:t>$350.1 billion (2012 est.)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5" w:history="1">
              <w:r w:rsidR="000A2CDD" w:rsidRPr="000A2CDD">
                <w:rPr>
                  <w:rStyle w:val="Hyperlink"/>
                  <w:b/>
                  <w:bCs/>
                </w:rPr>
                <w:t>Exports - commodities: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 xml:space="preserve">crude oil 45%, natural gas, </w:t>
            </w:r>
            <w:proofErr w:type="spellStart"/>
            <w:r w:rsidRPr="000A2CDD">
              <w:t>reexports</w:t>
            </w:r>
            <w:proofErr w:type="spellEnd"/>
            <w:r w:rsidRPr="000A2CDD">
              <w:t>, dried fish, dates</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6" w:history="1">
              <w:r w:rsidR="000A2CDD" w:rsidRPr="000A2CDD">
                <w:rPr>
                  <w:rStyle w:val="Hyperlink"/>
                  <w:b/>
                  <w:bCs/>
                </w:rPr>
                <w:t>Exports - partners: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Japan 15.4%, India 13.4%, Iran 10.7%, Thailand 5.5%, Singapore 5.5%, South Korea 5.3% (2012)</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7" w:history="1">
              <w:r w:rsidR="000A2CDD" w:rsidRPr="000A2CDD">
                <w:rPr>
                  <w:rStyle w:val="Hyperlink"/>
                  <w:b/>
                  <w:bCs/>
                </w:rPr>
                <w:t>Imports: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$249.6 billion (2013 est.)</w:t>
            </w:r>
          </w:p>
          <w:p w:rsidR="000A2CDD" w:rsidRPr="000A2CDD" w:rsidRDefault="000A2CDD" w:rsidP="000A2CDD">
            <w:r w:rsidRPr="000A2CDD">
              <w:rPr>
                <w:b/>
                <w:bCs/>
              </w:rPr>
              <w:t>country comparison to the world:</w:t>
            </w:r>
            <w:r w:rsidRPr="000A2CDD">
              <w:t> </w:t>
            </w:r>
            <w:hyperlink r:id="rId58" w:anchor="ae" w:history="1">
              <w:r w:rsidRPr="000A2CDD">
                <w:rPr>
                  <w:rStyle w:val="Hyperlink"/>
                </w:rPr>
                <w:t>21</w:t>
              </w:r>
            </w:hyperlink>
          </w:p>
          <w:p w:rsidR="000A2CDD" w:rsidRPr="000A2CDD" w:rsidRDefault="000A2CDD" w:rsidP="000A2CDD">
            <w:r w:rsidRPr="000A2CDD">
              <w:t>$221.9 billion (2012 est.)</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59" w:history="1">
              <w:r w:rsidR="000A2CDD" w:rsidRPr="000A2CDD">
                <w:rPr>
                  <w:rStyle w:val="Hyperlink"/>
                  <w:b/>
                  <w:bCs/>
                </w:rPr>
                <w:t>Imports - commodities: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machinery and transport equipment, chemicals, food</w:t>
            </w:r>
          </w:p>
        </w:tc>
      </w:tr>
      <w:tr w:rsidR="000A2CDD" w:rsidRPr="000A2CDD" w:rsidTr="00C04D47">
        <w:trPr>
          <w:trHeight w:val="300"/>
          <w:tblCellSpacing w:w="0" w:type="dxa"/>
        </w:trPr>
        <w:tc>
          <w:tcPr>
            <w:tcW w:w="11220" w:type="dxa"/>
            <w:shd w:val="clear" w:color="auto" w:fill="FFFFFF"/>
            <w:vAlign w:val="center"/>
            <w:hideMark/>
          </w:tcPr>
          <w:p w:rsidR="000A2CDD" w:rsidRPr="000A2CDD" w:rsidRDefault="00DA7686" w:rsidP="000A2CDD">
            <w:pPr>
              <w:rPr>
                <w:b/>
                <w:bCs/>
              </w:rPr>
            </w:pPr>
            <w:hyperlink r:id="rId60" w:history="1">
              <w:r w:rsidR="000A2CDD" w:rsidRPr="000A2CDD">
                <w:rPr>
                  <w:rStyle w:val="Hyperlink"/>
                  <w:b/>
                  <w:bCs/>
                </w:rPr>
                <w:t>Imports - partners:</w:t>
              </w:r>
            </w:hyperlink>
          </w:p>
        </w:tc>
        <w:tc>
          <w:tcPr>
            <w:tcW w:w="0" w:type="auto"/>
            <w:shd w:val="clear" w:color="auto" w:fill="FFFFFF"/>
            <w:vAlign w:val="center"/>
            <w:hideMark/>
          </w:tcPr>
          <w:p w:rsidR="000A2CDD" w:rsidRPr="000A2CDD" w:rsidRDefault="000A2CDD" w:rsidP="000A2CDD"/>
        </w:tc>
      </w:tr>
      <w:tr w:rsidR="000A2CDD" w:rsidRPr="000A2CDD" w:rsidTr="000A2CDD">
        <w:trPr>
          <w:trHeight w:val="330"/>
          <w:tblCellSpacing w:w="0" w:type="dxa"/>
        </w:trPr>
        <w:tc>
          <w:tcPr>
            <w:tcW w:w="0" w:type="auto"/>
            <w:gridSpan w:val="2"/>
            <w:shd w:val="clear" w:color="auto" w:fill="FFFFFF"/>
            <w:vAlign w:val="center"/>
            <w:hideMark/>
          </w:tcPr>
          <w:p w:rsidR="000A2CDD" w:rsidRPr="000A2CDD" w:rsidRDefault="000A2CDD" w:rsidP="000A2CDD">
            <w:r w:rsidRPr="000A2CDD">
              <w:t>India 17%, China 13.7%, US 10.5%, Germany 5.1%, Japan 4.2% (2012)</w:t>
            </w:r>
          </w:p>
        </w:tc>
      </w:tr>
    </w:tbl>
    <w:p w:rsidR="000A2CDD" w:rsidRPr="000A2CDD" w:rsidRDefault="00DA7686" w:rsidP="000A2CDD">
      <w:pPr>
        <w:rPr>
          <w:b/>
          <w:bCs/>
        </w:rPr>
      </w:pPr>
      <w:hyperlink r:id="rId61" w:history="1">
        <w:r w:rsidR="000A2CDD" w:rsidRPr="000A2CDD">
          <w:rPr>
            <w:rStyle w:val="Hyperlink"/>
            <w:b/>
            <w:bCs/>
          </w:rPr>
          <w:t xml:space="preserve">Transnational </w:t>
        </w:r>
        <w:proofErr w:type="gramStart"/>
        <w:r w:rsidR="000A2CDD" w:rsidRPr="000A2CDD">
          <w:rPr>
            <w:rStyle w:val="Hyperlink"/>
            <w:b/>
            <w:bCs/>
          </w:rPr>
          <w:t>Issues ::</w:t>
        </w:r>
        <w:proofErr w:type="gramEnd"/>
        <w:r w:rsidR="000A2CDD" w:rsidRPr="000A2CDD">
          <w:rPr>
            <w:rStyle w:val="Hyperlink"/>
            <w:b/>
            <w:bCs/>
          </w:rPr>
          <w:t>UNITED ARAB EMIRATES</w:t>
        </w:r>
      </w:hyperlink>
    </w:p>
    <w:tbl>
      <w:tblPr>
        <w:tblW w:w="11550" w:type="dxa"/>
        <w:tblCellSpacing w:w="0" w:type="dxa"/>
        <w:tblCellMar>
          <w:left w:w="0" w:type="dxa"/>
          <w:right w:w="0" w:type="dxa"/>
        </w:tblCellMar>
        <w:tblLook w:val="04A0"/>
      </w:tblPr>
      <w:tblGrid>
        <w:gridCol w:w="11543"/>
        <w:gridCol w:w="7"/>
      </w:tblGrid>
      <w:tr w:rsidR="000A2CDD" w:rsidRPr="000A2CDD" w:rsidTr="000A2CDD">
        <w:trPr>
          <w:trHeight w:val="300"/>
          <w:tblCellSpacing w:w="0" w:type="dxa"/>
        </w:trPr>
        <w:tc>
          <w:tcPr>
            <w:tcW w:w="6750" w:type="dxa"/>
            <w:vAlign w:val="center"/>
            <w:hideMark/>
          </w:tcPr>
          <w:p w:rsidR="000A2CDD" w:rsidRPr="000A2CDD" w:rsidRDefault="00DA7686" w:rsidP="000A2CDD">
            <w:pPr>
              <w:divId w:val="146678595"/>
              <w:rPr>
                <w:b/>
                <w:bCs/>
              </w:rPr>
            </w:pPr>
            <w:hyperlink r:id="rId62" w:history="1">
              <w:r w:rsidR="000A2CDD" w:rsidRPr="000A2CDD">
                <w:rPr>
                  <w:rStyle w:val="Hyperlink"/>
                  <w:b/>
                  <w:bCs/>
                </w:rPr>
                <w:t>Disputes - international</w:t>
              </w:r>
            </w:hyperlink>
            <w:r w:rsidR="000A2CDD" w:rsidRPr="000A2CDD">
              <w:rPr>
                <w:b/>
                <w:bCs/>
              </w:rPr>
              <w:t>:</w:t>
            </w:r>
          </w:p>
        </w:tc>
        <w:tc>
          <w:tcPr>
            <w:tcW w:w="0" w:type="auto"/>
            <w:vAlign w:val="center"/>
            <w:hideMark/>
          </w:tcPr>
          <w:p w:rsidR="000A2CDD" w:rsidRPr="000A2CDD" w:rsidRDefault="000A2CDD" w:rsidP="000A2CDD"/>
        </w:tc>
      </w:tr>
      <w:tr w:rsidR="000A2CDD" w:rsidRPr="000A2CDD" w:rsidTr="000A2CDD">
        <w:trPr>
          <w:tblCellSpacing w:w="0" w:type="dxa"/>
        </w:trPr>
        <w:tc>
          <w:tcPr>
            <w:tcW w:w="0" w:type="auto"/>
            <w:gridSpan w:val="2"/>
            <w:vAlign w:val="center"/>
            <w:hideMark/>
          </w:tcPr>
          <w:p w:rsidR="000A2CDD" w:rsidRPr="000A2CDD" w:rsidRDefault="000A2CDD" w:rsidP="000A2CDD">
            <w:r w:rsidRPr="000A2CDD">
              <w:t xml:space="preserve">boundary agreement was signed and ratified with Oman in 2003 for entire border, including Oman's </w:t>
            </w:r>
            <w:proofErr w:type="spellStart"/>
            <w:r w:rsidRPr="000A2CDD">
              <w:t>Musandam</w:t>
            </w:r>
            <w:proofErr w:type="spellEnd"/>
            <w:r w:rsidRPr="000A2CDD">
              <w:t xml:space="preserve"> Peninsula and Al </w:t>
            </w:r>
            <w:proofErr w:type="spellStart"/>
            <w:r w:rsidRPr="000A2CDD">
              <w:t>Madhah</w:t>
            </w:r>
            <w:proofErr w:type="spellEnd"/>
            <w:r w:rsidRPr="000A2CDD">
              <w:t xml:space="preserve"> enclaves, but contents of the agreement and detailed maps showing the alignment have not been published; Iran and UAE dispute Tunb Islands and Abu Musa Island, which Iran occupies</w:t>
            </w:r>
          </w:p>
        </w:tc>
      </w:tr>
      <w:tr w:rsidR="000A2CDD" w:rsidRPr="000A2CDD" w:rsidTr="000A2CDD">
        <w:trPr>
          <w:trHeight w:val="150"/>
          <w:tblCellSpacing w:w="0" w:type="dxa"/>
        </w:trPr>
        <w:tc>
          <w:tcPr>
            <w:tcW w:w="0" w:type="auto"/>
            <w:vAlign w:val="center"/>
            <w:hideMark/>
          </w:tcPr>
          <w:p w:rsidR="000A2CDD" w:rsidRPr="000A2CDD" w:rsidRDefault="000A2CDD" w:rsidP="000A2CDD"/>
        </w:tc>
        <w:tc>
          <w:tcPr>
            <w:tcW w:w="0" w:type="auto"/>
            <w:vAlign w:val="center"/>
            <w:hideMark/>
          </w:tcPr>
          <w:p w:rsidR="000A2CDD" w:rsidRPr="000A2CDD" w:rsidRDefault="000A2CDD" w:rsidP="000A2CDD"/>
        </w:tc>
      </w:tr>
      <w:tr w:rsidR="000A2CDD" w:rsidRPr="000A2CDD" w:rsidTr="000A2CDD">
        <w:trPr>
          <w:trHeight w:val="300"/>
          <w:tblCellSpacing w:w="0" w:type="dxa"/>
        </w:trPr>
        <w:tc>
          <w:tcPr>
            <w:tcW w:w="6750" w:type="dxa"/>
            <w:vAlign w:val="center"/>
            <w:hideMark/>
          </w:tcPr>
          <w:p w:rsidR="000A2CDD" w:rsidRPr="000A2CDD" w:rsidRDefault="00DA7686" w:rsidP="000A2CDD">
            <w:pPr>
              <w:rPr>
                <w:b/>
                <w:bCs/>
              </w:rPr>
            </w:pPr>
            <w:hyperlink r:id="rId63" w:history="1">
              <w:r w:rsidR="000A2CDD" w:rsidRPr="000A2CDD">
                <w:rPr>
                  <w:rStyle w:val="Hyperlink"/>
                  <w:b/>
                  <w:bCs/>
                </w:rPr>
                <w:t>Illicit drugs:</w:t>
              </w:r>
            </w:hyperlink>
          </w:p>
        </w:tc>
        <w:tc>
          <w:tcPr>
            <w:tcW w:w="0" w:type="auto"/>
            <w:vAlign w:val="center"/>
            <w:hideMark/>
          </w:tcPr>
          <w:p w:rsidR="000A2CDD" w:rsidRPr="000A2CDD" w:rsidRDefault="000A2CDD" w:rsidP="000A2CDD"/>
        </w:tc>
      </w:tr>
      <w:tr w:rsidR="000A2CDD" w:rsidRPr="000A2CDD" w:rsidTr="000A2CDD">
        <w:trPr>
          <w:trHeight w:val="330"/>
          <w:tblCellSpacing w:w="0" w:type="dxa"/>
        </w:trPr>
        <w:tc>
          <w:tcPr>
            <w:tcW w:w="0" w:type="auto"/>
            <w:gridSpan w:val="2"/>
            <w:vAlign w:val="center"/>
            <w:hideMark/>
          </w:tcPr>
          <w:p w:rsidR="000A2CDD" w:rsidRPr="000A2CDD" w:rsidRDefault="000A2CDD" w:rsidP="000A2CDD">
            <w:r w:rsidRPr="000A2CDD">
              <w:t>the UAE is a drug transshipment point for traffickers given its proximity to Southwest Asian drug-producing countries; the UAE's position as a major financial center makes it vulnerable to money laundering; anti-money-laundering controls improving, but informal banking remains unregulated</w:t>
            </w:r>
          </w:p>
        </w:tc>
      </w:tr>
    </w:tbl>
    <w:p w:rsidR="002F4ACB" w:rsidRDefault="002F4ACB"/>
    <w:sectPr w:rsidR="002F4ACB" w:rsidSect="000A2C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CDD"/>
    <w:rsid w:val="000A2CDD"/>
    <w:rsid w:val="002F4ACB"/>
    <w:rsid w:val="00BE1D97"/>
    <w:rsid w:val="00C04D47"/>
    <w:rsid w:val="00DA7686"/>
    <w:rsid w:val="00F85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DD"/>
    <w:rPr>
      <w:color w:val="0563C1" w:themeColor="hyperlink"/>
      <w:u w:val="single"/>
    </w:rPr>
  </w:style>
  <w:style w:type="paragraph" w:styleId="BalloonText">
    <w:name w:val="Balloon Text"/>
    <w:basedOn w:val="Normal"/>
    <w:link w:val="BalloonTextChar"/>
    <w:uiPriority w:val="99"/>
    <w:semiHidden/>
    <w:unhideWhenUsed/>
    <w:rsid w:val="00BE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1496">
      <w:bodyDiv w:val="1"/>
      <w:marLeft w:val="0"/>
      <w:marRight w:val="0"/>
      <w:marTop w:val="0"/>
      <w:marBottom w:val="0"/>
      <w:divBdr>
        <w:top w:val="none" w:sz="0" w:space="0" w:color="auto"/>
        <w:left w:val="none" w:sz="0" w:space="0" w:color="auto"/>
        <w:bottom w:val="none" w:sz="0" w:space="0" w:color="auto"/>
        <w:right w:val="none" w:sz="0" w:space="0" w:color="auto"/>
      </w:divBdr>
      <w:divsChild>
        <w:div w:id="783770037">
          <w:marLeft w:val="0"/>
          <w:marRight w:val="0"/>
          <w:marTop w:val="0"/>
          <w:marBottom w:val="0"/>
          <w:divBdr>
            <w:top w:val="none" w:sz="0" w:space="0" w:color="auto"/>
            <w:left w:val="none" w:sz="0" w:space="0" w:color="auto"/>
            <w:bottom w:val="none" w:sz="0" w:space="0" w:color="auto"/>
            <w:right w:val="none" w:sz="0" w:space="0" w:color="auto"/>
          </w:divBdr>
        </w:div>
        <w:div w:id="43873874">
          <w:marLeft w:val="0"/>
          <w:marRight w:val="0"/>
          <w:marTop w:val="0"/>
          <w:marBottom w:val="0"/>
          <w:divBdr>
            <w:top w:val="none" w:sz="0" w:space="0" w:color="auto"/>
            <w:left w:val="none" w:sz="0" w:space="0" w:color="auto"/>
            <w:bottom w:val="none" w:sz="0" w:space="0" w:color="auto"/>
            <w:right w:val="none" w:sz="0" w:space="0" w:color="auto"/>
          </w:divBdr>
        </w:div>
      </w:divsChild>
    </w:div>
    <w:div w:id="115877466">
      <w:bodyDiv w:val="1"/>
      <w:marLeft w:val="0"/>
      <w:marRight w:val="0"/>
      <w:marTop w:val="0"/>
      <w:marBottom w:val="0"/>
      <w:divBdr>
        <w:top w:val="none" w:sz="0" w:space="0" w:color="auto"/>
        <w:left w:val="none" w:sz="0" w:space="0" w:color="auto"/>
        <w:bottom w:val="none" w:sz="0" w:space="0" w:color="auto"/>
        <w:right w:val="none" w:sz="0" w:space="0" w:color="auto"/>
      </w:divBdr>
      <w:divsChild>
        <w:div w:id="850411907">
          <w:marLeft w:val="0"/>
          <w:marRight w:val="0"/>
          <w:marTop w:val="0"/>
          <w:marBottom w:val="0"/>
          <w:divBdr>
            <w:top w:val="none" w:sz="0" w:space="0" w:color="auto"/>
            <w:left w:val="none" w:sz="0" w:space="0" w:color="auto"/>
            <w:bottom w:val="none" w:sz="0" w:space="0" w:color="auto"/>
            <w:right w:val="none" w:sz="0" w:space="0" w:color="auto"/>
          </w:divBdr>
        </w:div>
        <w:div w:id="1221988181">
          <w:marLeft w:val="0"/>
          <w:marRight w:val="0"/>
          <w:marTop w:val="0"/>
          <w:marBottom w:val="0"/>
          <w:divBdr>
            <w:top w:val="none" w:sz="0" w:space="0" w:color="auto"/>
            <w:left w:val="none" w:sz="0" w:space="0" w:color="auto"/>
            <w:bottom w:val="none" w:sz="0" w:space="0" w:color="auto"/>
            <w:right w:val="none" w:sz="0" w:space="0" w:color="auto"/>
          </w:divBdr>
        </w:div>
        <w:div w:id="1071083156">
          <w:marLeft w:val="0"/>
          <w:marRight w:val="0"/>
          <w:marTop w:val="0"/>
          <w:marBottom w:val="0"/>
          <w:divBdr>
            <w:top w:val="none" w:sz="0" w:space="0" w:color="auto"/>
            <w:left w:val="none" w:sz="0" w:space="0" w:color="auto"/>
            <w:bottom w:val="none" w:sz="0" w:space="0" w:color="auto"/>
            <w:right w:val="none" w:sz="0" w:space="0" w:color="auto"/>
          </w:divBdr>
        </w:div>
        <w:div w:id="1327367590">
          <w:marLeft w:val="0"/>
          <w:marRight w:val="0"/>
          <w:marTop w:val="0"/>
          <w:marBottom w:val="0"/>
          <w:divBdr>
            <w:top w:val="none" w:sz="0" w:space="0" w:color="auto"/>
            <w:left w:val="none" w:sz="0" w:space="0" w:color="auto"/>
            <w:bottom w:val="none" w:sz="0" w:space="0" w:color="auto"/>
            <w:right w:val="none" w:sz="0" w:space="0" w:color="auto"/>
          </w:divBdr>
        </w:div>
        <w:div w:id="948781467">
          <w:marLeft w:val="0"/>
          <w:marRight w:val="0"/>
          <w:marTop w:val="0"/>
          <w:marBottom w:val="0"/>
          <w:divBdr>
            <w:top w:val="none" w:sz="0" w:space="0" w:color="auto"/>
            <w:left w:val="none" w:sz="0" w:space="0" w:color="auto"/>
            <w:bottom w:val="none" w:sz="0" w:space="0" w:color="auto"/>
            <w:right w:val="none" w:sz="0" w:space="0" w:color="auto"/>
          </w:divBdr>
        </w:div>
        <w:div w:id="89399949">
          <w:marLeft w:val="0"/>
          <w:marRight w:val="0"/>
          <w:marTop w:val="0"/>
          <w:marBottom w:val="0"/>
          <w:divBdr>
            <w:top w:val="none" w:sz="0" w:space="0" w:color="auto"/>
            <w:left w:val="none" w:sz="0" w:space="0" w:color="auto"/>
            <w:bottom w:val="none" w:sz="0" w:space="0" w:color="auto"/>
            <w:right w:val="none" w:sz="0" w:space="0" w:color="auto"/>
          </w:divBdr>
        </w:div>
        <w:div w:id="126288078">
          <w:marLeft w:val="0"/>
          <w:marRight w:val="0"/>
          <w:marTop w:val="0"/>
          <w:marBottom w:val="0"/>
          <w:divBdr>
            <w:top w:val="none" w:sz="0" w:space="0" w:color="auto"/>
            <w:left w:val="none" w:sz="0" w:space="0" w:color="auto"/>
            <w:bottom w:val="none" w:sz="0" w:space="0" w:color="auto"/>
            <w:right w:val="none" w:sz="0" w:space="0" w:color="auto"/>
          </w:divBdr>
        </w:div>
      </w:divsChild>
    </w:div>
    <w:div w:id="135924815">
      <w:bodyDiv w:val="1"/>
      <w:marLeft w:val="0"/>
      <w:marRight w:val="0"/>
      <w:marTop w:val="0"/>
      <w:marBottom w:val="0"/>
      <w:divBdr>
        <w:top w:val="none" w:sz="0" w:space="0" w:color="auto"/>
        <w:left w:val="none" w:sz="0" w:space="0" w:color="auto"/>
        <w:bottom w:val="none" w:sz="0" w:space="0" w:color="auto"/>
        <w:right w:val="none" w:sz="0" w:space="0" w:color="auto"/>
      </w:divBdr>
      <w:divsChild>
        <w:div w:id="394158644">
          <w:marLeft w:val="0"/>
          <w:marRight w:val="0"/>
          <w:marTop w:val="0"/>
          <w:marBottom w:val="0"/>
          <w:divBdr>
            <w:top w:val="none" w:sz="0" w:space="0" w:color="auto"/>
            <w:left w:val="none" w:sz="0" w:space="0" w:color="auto"/>
            <w:bottom w:val="none" w:sz="0" w:space="0" w:color="auto"/>
            <w:right w:val="none" w:sz="0" w:space="0" w:color="auto"/>
          </w:divBdr>
        </w:div>
        <w:div w:id="113446604">
          <w:marLeft w:val="0"/>
          <w:marRight w:val="0"/>
          <w:marTop w:val="0"/>
          <w:marBottom w:val="0"/>
          <w:divBdr>
            <w:top w:val="none" w:sz="0" w:space="0" w:color="auto"/>
            <w:left w:val="none" w:sz="0" w:space="0" w:color="auto"/>
            <w:bottom w:val="none" w:sz="0" w:space="0" w:color="auto"/>
            <w:right w:val="none" w:sz="0" w:space="0" w:color="auto"/>
          </w:divBdr>
        </w:div>
        <w:div w:id="1171405214">
          <w:marLeft w:val="0"/>
          <w:marRight w:val="0"/>
          <w:marTop w:val="0"/>
          <w:marBottom w:val="0"/>
          <w:divBdr>
            <w:top w:val="none" w:sz="0" w:space="0" w:color="auto"/>
            <w:left w:val="none" w:sz="0" w:space="0" w:color="auto"/>
            <w:bottom w:val="none" w:sz="0" w:space="0" w:color="auto"/>
            <w:right w:val="none" w:sz="0" w:space="0" w:color="auto"/>
          </w:divBdr>
        </w:div>
        <w:div w:id="1865093110">
          <w:marLeft w:val="0"/>
          <w:marRight w:val="0"/>
          <w:marTop w:val="0"/>
          <w:marBottom w:val="0"/>
          <w:divBdr>
            <w:top w:val="none" w:sz="0" w:space="0" w:color="auto"/>
            <w:left w:val="none" w:sz="0" w:space="0" w:color="auto"/>
            <w:bottom w:val="none" w:sz="0" w:space="0" w:color="auto"/>
            <w:right w:val="none" w:sz="0" w:space="0" w:color="auto"/>
          </w:divBdr>
        </w:div>
      </w:divsChild>
    </w:div>
    <w:div w:id="281881699">
      <w:bodyDiv w:val="1"/>
      <w:marLeft w:val="0"/>
      <w:marRight w:val="0"/>
      <w:marTop w:val="0"/>
      <w:marBottom w:val="0"/>
      <w:divBdr>
        <w:top w:val="none" w:sz="0" w:space="0" w:color="auto"/>
        <w:left w:val="none" w:sz="0" w:space="0" w:color="auto"/>
        <w:bottom w:val="none" w:sz="0" w:space="0" w:color="auto"/>
        <w:right w:val="none" w:sz="0" w:space="0" w:color="auto"/>
      </w:divBdr>
      <w:divsChild>
        <w:div w:id="1177769196">
          <w:marLeft w:val="0"/>
          <w:marRight w:val="0"/>
          <w:marTop w:val="0"/>
          <w:marBottom w:val="0"/>
          <w:divBdr>
            <w:top w:val="none" w:sz="0" w:space="0" w:color="auto"/>
            <w:left w:val="none" w:sz="0" w:space="0" w:color="auto"/>
            <w:bottom w:val="none" w:sz="0" w:space="0" w:color="auto"/>
            <w:right w:val="none" w:sz="0" w:space="0" w:color="auto"/>
          </w:divBdr>
        </w:div>
        <w:div w:id="2035230409">
          <w:marLeft w:val="0"/>
          <w:marRight w:val="0"/>
          <w:marTop w:val="0"/>
          <w:marBottom w:val="0"/>
          <w:divBdr>
            <w:top w:val="none" w:sz="0" w:space="0" w:color="auto"/>
            <w:left w:val="none" w:sz="0" w:space="0" w:color="auto"/>
            <w:bottom w:val="none" w:sz="0" w:space="0" w:color="auto"/>
            <w:right w:val="none" w:sz="0" w:space="0" w:color="auto"/>
          </w:divBdr>
        </w:div>
        <w:div w:id="211120950">
          <w:marLeft w:val="0"/>
          <w:marRight w:val="0"/>
          <w:marTop w:val="0"/>
          <w:marBottom w:val="0"/>
          <w:divBdr>
            <w:top w:val="none" w:sz="0" w:space="0" w:color="auto"/>
            <w:left w:val="none" w:sz="0" w:space="0" w:color="auto"/>
            <w:bottom w:val="none" w:sz="0" w:space="0" w:color="auto"/>
            <w:right w:val="none" w:sz="0" w:space="0" w:color="auto"/>
          </w:divBdr>
        </w:div>
        <w:div w:id="78603544">
          <w:marLeft w:val="0"/>
          <w:marRight w:val="0"/>
          <w:marTop w:val="0"/>
          <w:marBottom w:val="0"/>
          <w:divBdr>
            <w:top w:val="none" w:sz="0" w:space="0" w:color="auto"/>
            <w:left w:val="none" w:sz="0" w:space="0" w:color="auto"/>
            <w:bottom w:val="none" w:sz="0" w:space="0" w:color="auto"/>
            <w:right w:val="none" w:sz="0" w:space="0" w:color="auto"/>
          </w:divBdr>
        </w:div>
      </w:divsChild>
    </w:div>
    <w:div w:id="374237014">
      <w:bodyDiv w:val="1"/>
      <w:marLeft w:val="0"/>
      <w:marRight w:val="0"/>
      <w:marTop w:val="0"/>
      <w:marBottom w:val="0"/>
      <w:divBdr>
        <w:top w:val="none" w:sz="0" w:space="0" w:color="auto"/>
        <w:left w:val="none" w:sz="0" w:space="0" w:color="auto"/>
        <w:bottom w:val="none" w:sz="0" w:space="0" w:color="auto"/>
        <w:right w:val="none" w:sz="0" w:space="0" w:color="auto"/>
      </w:divBdr>
      <w:divsChild>
        <w:div w:id="1528448052">
          <w:marLeft w:val="0"/>
          <w:marRight w:val="0"/>
          <w:marTop w:val="0"/>
          <w:marBottom w:val="0"/>
          <w:divBdr>
            <w:top w:val="none" w:sz="0" w:space="0" w:color="auto"/>
            <w:left w:val="none" w:sz="0" w:space="0" w:color="auto"/>
            <w:bottom w:val="none" w:sz="0" w:space="0" w:color="auto"/>
            <w:right w:val="none" w:sz="0" w:space="0" w:color="auto"/>
          </w:divBdr>
        </w:div>
        <w:div w:id="442384267">
          <w:marLeft w:val="0"/>
          <w:marRight w:val="0"/>
          <w:marTop w:val="0"/>
          <w:marBottom w:val="0"/>
          <w:divBdr>
            <w:top w:val="none" w:sz="0" w:space="0" w:color="auto"/>
            <w:left w:val="none" w:sz="0" w:space="0" w:color="auto"/>
            <w:bottom w:val="none" w:sz="0" w:space="0" w:color="auto"/>
            <w:right w:val="none" w:sz="0" w:space="0" w:color="auto"/>
          </w:divBdr>
        </w:div>
      </w:divsChild>
    </w:div>
    <w:div w:id="431706274">
      <w:bodyDiv w:val="1"/>
      <w:marLeft w:val="0"/>
      <w:marRight w:val="0"/>
      <w:marTop w:val="0"/>
      <w:marBottom w:val="0"/>
      <w:divBdr>
        <w:top w:val="none" w:sz="0" w:space="0" w:color="auto"/>
        <w:left w:val="none" w:sz="0" w:space="0" w:color="auto"/>
        <w:bottom w:val="none" w:sz="0" w:space="0" w:color="auto"/>
        <w:right w:val="none" w:sz="0" w:space="0" w:color="auto"/>
      </w:divBdr>
      <w:divsChild>
        <w:div w:id="178934715">
          <w:marLeft w:val="0"/>
          <w:marRight w:val="0"/>
          <w:marTop w:val="0"/>
          <w:marBottom w:val="0"/>
          <w:divBdr>
            <w:top w:val="none" w:sz="0" w:space="0" w:color="auto"/>
            <w:left w:val="none" w:sz="0" w:space="0" w:color="auto"/>
            <w:bottom w:val="none" w:sz="0" w:space="0" w:color="auto"/>
            <w:right w:val="none" w:sz="0" w:space="0" w:color="auto"/>
          </w:divBdr>
        </w:div>
        <w:div w:id="1140853111">
          <w:marLeft w:val="0"/>
          <w:marRight w:val="0"/>
          <w:marTop w:val="0"/>
          <w:marBottom w:val="0"/>
          <w:divBdr>
            <w:top w:val="none" w:sz="0" w:space="0" w:color="auto"/>
            <w:left w:val="none" w:sz="0" w:space="0" w:color="auto"/>
            <w:bottom w:val="none" w:sz="0" w:space="0" w:color="auto"/>
            <w:right w:val="none" w:sz="0" w:space="0" w:color="auto"/>
          </w:divBdr>
        </w:div>
        <w:div w:id="330834405">
          <w:marLeft w:val="0"/>
          <w:marRight w:val="0"/>
          <w:marTop w:val="0"/>
          <w:marBottom w:val="0"/>
          <w:divBdr>
            <w:top w:val="none" w:sz="0" w:space="0" w:color="auto"/>
            <w:left w:val="none" w:sz="0" w:space="0" w:color="auto"/>
            <w:bottom w:val="none" w:sz="0" w:space="0" w:color="auto"/>
            <w:right w:val="none" w:sz="0" w:space="0" w:color="auto"/>
          </w:divBdr>
        </w:div>
        <w:div w:id="1865173129">
          <w:marLeft w:val="0"/>
          <w:marRight w:val="0"/>
          <w:marTop w:val="0"/>
          <w:marBottom w:val="0"/>
          <w:divBdr>
            <w:top w:val="none" w:sz="0" w:space="0" w:color="auto"/>
            <w:left w:val="none" w:sz="0" w:space="0" w:color="auto"/>
            <w:bottom w:val="none" w:sz="0" w:space="0" w:color="auto"/>
            <w:right w:val="none" w:sz="0" w:space="0" w:color="auto"/>
          </w:divBdr>
        </w:div>
      </w:divsChild>
    </w:div>
    <w:div w:id="708334277">
      <w:bodyDiv w:val="1"/>
      <w:marLeft w:val="0"/>
      <w:marRight w:val="0"/>
      <w:marTop w:val="0"/>
      <w:marBottom w:val="0"/>
      <w:divBdr>
        <w:top w:val="none" w:sz="0" w:space="0" w:color="auto"/>
        <w:left w:val="none" w:sz="0" w:space="0" w:color="auto"/>
        <w:bottom w:val="none" w:sz="0" w:space="0" w:color="auto"/>
        <w:right w:val="none" w:sz="0" w:space="0" w:color="auto"/>
      </w:divBdr>
      <w:divsChild>
        <w:div w:id="603654703">
          <w:marLeft w:val="0"/>
          <w:marRight w:val="0"/>
          <w:marTop w:val="0"/>
          <w:marBottom w:val="0"/>
          <w:divBdr>
            <w:top w:val="none" w:sz="0" w:space="0" w:color="auto"/>
            <w:left w:val="none" w:sz="0" w:space="0" w:color="auto"/>
            <w:bottom w:val="none" w:sz="0" w:space="0" w:color="auto"/>
            <w:right w:val="none" w:sz="0" w:space="0" w:color="auto"/>
          </w:divBdr>
        </w:div>
        <w:div w:id="1184393671">
          <w:marLeft w:val="0"/>
          <w:marRight w:val="0"/>
          <w:marTop w:val="0"/>
          <w:marBottom w:val="0"/>
          <w:divBdr>
            <w:top w:val="none" w:sz="0" w:space="0" w:color="auto"/>
            <w:left w:val="none" w:sz="0" w:space="0" w:color="auto"/>
            <w:bottom w:val="none" w:sz="0" w:space="0" w:color="auto"/>
            <w:right w:val="none" w:sz="0" w:space="0" w:color="auto"/>
          </w:divBdr>
        </w:div>
        <w:div w:id="826017383">
          <w:marLeft w:val="0"/>
          <w:marRight w:val="0"/>
          <w:marTop w:val="0"/>
          <w:marBottom w:val="0"/>
          <w:divBdr>
            <w:top w:val="none" w:sz="0" w:space="0" w:color="auto"/>
            <w:left w:val="none" w:sz="0" w:space="0" w:color="auto"/>
            <w:bottom w:val="none" w:sz="0" w:space="0" w:color="auto"/>
            <w:right w:val="none" w:sz="0" w:space="0" w:color="auto"/>
          </w:divBdr>
        </w:div>
        <w:div w:id="610942823">
          <w:marLeft w:val="0"/>
          <w:marRight w:val="0"/>
          <w:marTop w:val="0"/>
          <w:marBottom w:val="0"/>
          <w:divBdr>
            <w:top w:val="none" w:sz="0" w:space="0" w:color="auto"/>
            <w:left w:val="none" w:sz="0" w:space="0" w:color="auto"/>
            <w:bottom w:val="none" w:sz="0" w:space="0" w:color="auto"/>
            <w:right w:val="none" w:sz="0" w:space="0" w:color="auto"/>
          </w:divBdr>
        </w:div>
        <w:div w:id="1875339942">
          <w:marLeft w:val="0"/>
          <w:marRight w:val="0"/>
          <w:marTop w:val="0"/>
          <w:marBottom w:val="0"/>
          <w:divBdr>
            <w:top w:val="none" w:sz="0" w:space="0" w:color="auto"/>
            <w:left w:val="none" w:sz="0" w:space="0" w:color="auto"/>
            <w:bottom w:val="none" w:sz="0" w:space="0" w:color="auto"/>
            <w:right w:val="none" w:sz="0" w:space="0" w:color="auto"/>
          </w:divBdr>
        </w:div>
        <w:div w:id="371538758">
          <w:marLeft w:val="0"/>
          <w:marRight w:val="0"/>
          <w:marTop w:val="0"/>
          <w:marBottom w:val="0"/>
          <w:divBdr>
            <w:top w:val="none" w:sz="0" w:space="0" w:color="auto"/>
            <w:left w:val="none" w:sz="0" w:space="0" w:color="auto"/>
            <w:bottom w:val="none" w:sz="0" w:space="0" w:color="auto"/>
            <w:right w:val="none" w:sz="0" w:space="0" w:color="auto"/>
          </w:divBdr>
        </w:div>
        <w:div w:id="75059794">
          <w:marLeft w:val="0"/>
          <w:marRight w:val="0"/>
          <w:marTop w:val="0"/>
          <w:marBottom w:val="0"/>
          <w:divBdr>
            <w:top w:val="none" w:sz="0" w:space="0" w:color="auto"/>
            <w:left w:val="none" w:sz="0" w:space="0" w:color="auto"/>
            <w:bottom w:val="none" w:sz="0" w:space="0" w:color="auto"/>
            <w:right w:val="none" w:sz="0" w:space="0" w:color="auto"/>
          </w:divBdr>
        </w:div>
        <w:div w:id="1030716214">
          <w:marLeft w:val="0"/>
          <w:marRight w:val="0"/>
          <w:marTop w:val="0"/>
          <w:marBottom w:val="0"/>
          <w:divBdr>
            <w:top w:val="none" w:sz="0" w:space="0" w:color="auto"/>
            <w:left w:val="none" w:sz="0" w:space="0" w:color="auto"/>
            <w:bottom w:val="none" w:sz="0" w:space="0" w:color="auto"/>
            <w:right w:val="none" w:sz="0" w:space="0" w:color="auto"/>
          </w:divBdr>
        </w:div>
        <w:div w:id="1868250552">
          <w:marLeft w:val="0"/>
          <w:marRight w:val="0"/>
          <w:marTop w:val="0"/>
          <w:marBottom w:val="0"/>
          <w:divBdr>
            <w:top w:val="none" w:sz="0" w:space="0" w:color="auto"/>
            <w:left w:val="none" w:sz="0" w:space="0" w:color="auto"/>
            <w:bottom w:val="none" w:sz="0" w:space="0" w:color="auto"/>
            <w:right w:val="none" w:sz="0" w:space="0" w:color="auto"/>
          </w:divBdr>
        </w:div>
        <w:div w:id="1759325930">
          <w:marLeft w:val="0"/>
          <w:marRight w:val="0"/>
          <w:marTop w:val="0"/>
          <w:marBottom w:val="0"/>
          <w:divBdr>
            <w:top w:val="none" w:sz="0" w:space="0" w:color="auto"/>
            <w:left w:val="none" w:sz="0" w:space="0" w:color="auto"/>
            <w:bottom w:val="none" w:sz="0" w:space="0" w:color="auto"/>
            <w:right w:val="none" w:sz="0" w:space="0" w:color="auto"/>
          </w:divBdr>
        </w:div>
        <w:div w:id="1473793885">
          <w:marLeft w:val="0"/>
          <w:marRight w:val="0"/>
          <w:marTop w:val="0"/>
          <w:marBottom w:val="0"/>
          <w:divBdr>
            <w:top w:val="none" w:sz="0" w:space="0" w:color="auto"/>
            <w:left w:val="none" w:sz="0" w:space="0" w:color="auto"/>
            <w:bottom w:val="none" w:sz="0" w:space="0" w:color="auto"/>
            <w:right w:val="none" w:sz="0" w:space="0" w:color="auto"/>
          </w:divBdr>
        </w:div>
      </w:divsChild>
    </w:div>
    <w:div w:id="803424021">
      <w:bodyDiv w:val="1"/>
      <w:marLeft w:val="0"/>
      <w:marRight w:val="0"/>
      <w:marTop w:val="0"/>
      <w:marBottom w:val="0"/>
      <w:divBdr>
        <w:top w:val="none" w:sz="0" w:space="0" w:color="auto"/>
        <w:left w:val="none" w:sz="0" w:space="0" w:color="auto"/>
        <w:bottom w:val="none" w:sz="0" w:space="0" w:color="auto"/>
        <w:right w:val="none" w:sz="0" w:space="0" w:color="auto"/>
      </w:divBdr>
      <w:divsChild>
        <w:div w:id="2014410930">
          <w:marLeft w:val="0"/>
          <w:marRight w:val="0"/>
          <w:marTop w:val="0"/>
          <w:marBottom w:val="0"/>
          <w:divBdr>
            <w:top w:val="none" w:sz="0" w:space="0" w:color="auto"/>
            <w:left w:val="none" w:sz="0" w:space="0" w:color="auto"/>
            <w:bottom w:val="none" w:sz="0" w:space="0" w:color="auto"/>
            <w:right w:val="none" w:sz="0" w:space="0" w:color="auto"/>
          </w:divBdr>
        </w:div>
        <w:div w:id="2079400229">
          <w:marLeft w:val="0"/>
          <w:marRight w:val="0"/>
          <w:marTop w:val="0"/>
          <w:marBottom w:val="0"/>
          <w:divBdr>
            <w:top w:val="none" w:sz="0" w:space="0" w:color="auto"/>
            <w:left w:val="none" w:sz="0" w:space="0" w:color="auto"/>
            <w:bottom w:val="none" w:sz="0" w:space="0" w:color="auto"/>
            <w:right w:val="none" w:sz="0" w:space="0" w:color="auto"/>
          </w:divBdr>
        </w:div>
      </w:divsChild>
    </w:div>
    <w:div w:id="853496828">
      <w:bodyDiv w:val="1"/>
      <w:marLeft w:val="0"/>
      <w:marRight w:val="0"/>
      <w:marTop w:val="0"/>
      <w:marBottom w:val="0"/>
      <w:divBdr>
        <w:top w:val="none" w:sz="0" w:space="0" w:color="auto"/>
        <w:left w:val="none" w:sz="0" w:space="0" w:color="auto"/>
        <w:bottom w:val="none" w:sz="0" w:space="0" w:color="auto"/>
        <w:right w:val="none" w:sz="0" w:space="0" w:color="auto"/>
      </w:divBdr>
      <w:divsChild>
        <w:div w:id="618758033">
          <w:marLeft w:val="0"/>
          <w:marRight w:val="0"/>
          <w:marTop w:val="0"/>
          <w:marBottom w:val="0"/>
          <w:divBdr>
            <w:top w:val="none" w:sz="0" w:space="0" w:color="auto"/>
            <w:left w:val="none" w:sz="0" w:space="0" w:color="auto"/>
            <w:bottom w:val="none" w:sz="0" w:space="0" w:color="auto"/>
            <w:right w:val="none" w:sz="0" w:space="0" w:color="auto"/>
          </w:divBdr>
        </w:div>
        <w:div w:id="132215698">
          <w:marLeft w:val="0"/>
          <w:marRight w:val="0"/>
          <w:marTop w:val="0"/>
          <w:marBottom w:val="0"/>
          <w:divBdr>
            <w:top w:val="none" w:sz="0" w:space="0" w:color="auto"/>
            <w:left w:val="none" w:sz="0" w:space="0" w:color="auto"/>
            <w:bottom w:val="none" w:sz="0" w:space="0" w:color="auto"/>
            <w:right w:val="none" w:sz="0" w:space="0" w:color="auto"/>
          </w:divBdr>
        </w:div>
        <w:div w:id="1284730826">
          <w:marLeft w:val="0"/>
          <w:marRight w:val="0"/>
          <w:marTop w:val="0"/>
          <w:marBottom w:val="0"/>
          <w:divBdr>
            <w:top w:val="none" w:sz="0" w:space="0" w:color="auto"/>
            <w:left w:val="none" w:sz="0" w:space="0" w:color="auto"/>
            <w:bottom w:val="none" w:sz="0" w:space="0" w:color="auto"/>
            <w:right w:val="none" w:sz="0" w:space="0" w:color="auto"/>
          </w:divBdr>
        </w:div>
        <w:div w:id="1217818868">
          <w:marLeft w:val="0"/>
          <w:marRight w:val="0"/>
          <w:marTop w:val="0"/>
          <w:marBottom w:val="0"/>
          <w:divBdr>
            <w:top w:val="none" w:sz="0" w:space="0" w:color="auto"/>
            <w:left w:val="none" w:sz="0" w:space="0" w:color="auto"/>
            <w:bottom w:val="none" w:sz="0" w:space="0" w:color="auto"/>
            <w:right w:val="none" w:sz="0" w:space="0" w:color="auto"/>
          </w:divBdr>
        </w:div>
        <w:div w:id="1963532638">
          <w:marLeft w:val="0"/>
          <w:marRight w:val="0"/>
          <w:marTop w:val="0"/>
          <w:marBottom w:val="0"/>
          <w:divBdr>
            <w:top w:val="none" w:sz="0" w:space="0" w:color="auto"/>
            <w:left w:val="none" w:sz="0" w:space="0" w:color="auto"/>
            <w:bottom w:val="none" w:sz="0" w:space="0" w:color="auto"/>
            <w:right w:val="none" w:sz="0" w:space="0" w:color="auto"/>
          </w:divBdr>
        </w:div>
        <w:div w:id="452754657">
          <w:marLeft w:val="0"/>
          <w:marRight w:val="0"/>
          <w:marTop w:val="0"/>
          <w:marBottom w:val="0"/>
          <w:divBdr>
            <w:top w:val="none" w:sz="0" w:space="0" w:color="auto"/>
            <w:left w:val="none" w:sz="0" w:space="0" w:color="auto"/>
            <w:bottom w:val="none" w:sz="0" w:space="0" w:color="auto"/>
            <w:right w:val="none" w:sz="0" w:space="0" w:color="auto"/>
          </w:divBdr>
        </w:div>
        <w:div w:id="1777868289">
          <w:marLeft w:val="0"/>
          <w:marRight w:val="0"/>
          <w:marTop w:val="0"/>
          <w:marBottom w:val="0"/>
          <w:divBdr>
            <w:top w:val="none" w:sz="0" w:space="0" w:color="auto"/>
            <w:left w:val="none" w:sz="0" w:space="0" w:color="auto"/>
            <w:bottom w:val="none" w:sz="0" w:space="0" w:color="auto"/>
            <w:right w:val="none" w:sz="0" w:space="0" w:color="auto"/>
          </w:divBdr>
        </w:div>
        <w:div w:id="488401379">
          <w:marLeft w:val="0"/>
          <w:marRight w:val="0"/>
          <w:marTop w:val="0"/>
          <w:marBottom w:val="0"/>
          <w:divBdr>
            <w:top w:val="none" w:sz="0" w:space="0" w:color="auto"/>
            <w:left w:val="none" w:sz="0" w:space="0" w:color="auto"/>
            <w:bottom w:val="none" w:sz="0" w:space="0" w:color="auto"/>
            <w:right w:val="none" w:sz="0" w:space="0" w:color="auto"/>
          </w:divBdr>
        </w:div>
        <w:div w:id="1328899217">
          <w:marLeft w:val="0"/>
          <w:marRight w:val="0"/>
          <w:marTop w:val="0"/>
          <w:marBottom w:val="0"/>
          <w:divBdr>
            <w:top w:val="none" w:sz="0" w:space="0" w:color="auto"/>
            <w:left w:val="none" w:sz="0" w:space="0" w:color="auto"/>
            <w:bottom w:val="none" w:sz="0" w:space="0" w:color="auto"/>
            <w:right w:val="none" w:sz="0" w:space="0" w:color="auto"/>
          </w:divBdr>
        </w:div>
      </w:divsChild>
    </w:div>
    <w:div w:id="909198339">
      <w:bodyDiv w:val="1"/>
      <w:marLeft w:val="0"/>
      <w:marRight w:val="0"/>
      <w:marTop w:val="0"/>
      <w:marBottom w:val="0"/>
      <w:divBdr>
        <w:top w:val="none" w:sz="0" w:space="0" w:color="auto"/>
        <w:left w:val="none" w:sz="0" w:space="0" w:color="auto"/>
        <w:bottom w:val="none" w:sz="0" w:space="0" w:color="auto"/>
        <w:right w:val="none" w:sz="0" w:space="0" w:color="auto"/>
      </w:divBdr>
      <w:divsChild>
        <w:div w:id="1318991747">
          <w:marLeft w:val="0"/>
          <w:marRight w:val="0"/>
          <w:marTop w:val="0"/>
          <w:marBottom w:val="0"/>
          <w:divBdr>
            <w:top w:val="none" w:sz="0" w:space="0" w:color="auto"/>
            <w:left w:val="none" w:sz="0" w:space="0" w:color="auto"/>
            <w:bottom w:val="none" w:sz="0" w:space="0" w:color="auto"/>
            <w:right w:val="none" w:sz="0" w:space="0" w:color="auto"/>
          </w:divBdr>
        </w:div>
        <w:div w:id="596056040">
          <w:marLeft w:val="0"/>
          <w:marRight w:val="0"/>
          <w:marTop w:val="0"/>
          <w:marBottom w:val="0"/>
          <w:divBdr>
            <w:top w:val="none" w:sz="0" w:space="0" w:color="auto"/>
            <w:left w:val="none" w:sz="0" w:space="0" w:color="auto"/>
            <w:bottom w:val="none" w:sz="0" w:space="0" w:color="auto"/>
            <w:right w:val="none" w:sz="0" w:space="0" w:color="auto"/>
          </w:divBdr>
        </w:div>
        <w:div w:id="754209837">
          <w:marLeft w:val="0"/>
          <w:marRight w:val="0"/>
          <w:marTop w:val="0"/>
          <w:marBottom w:val="0"/>
          <w:divBdr>
            <w:top w:val="none" w:sz="0" w:space="0" w:color="auto"/>
            <w:left w:val="none" w:sz="0" w:space="0" w:color="auto"/>
            <w:bottom w:val="none" w:sz="0" w:space="0" w:color="auto"/>
            <w:right w:val="none" w:sz="0" w:space="0" w:color="auto"/>
          </w:divBdr>
        </w:div>
        <w:div w:id="1740908757">
          <w:marLeft w:val="0"/>
          <w:marRight w:val="0"/>
          <w:marTop w:val="0"/>
          <w:marBottom w:val="0"/>
          <w:divBdr>
            <w:top w:val="none" w:sz="0" w:space="0" w:color="auto"/>
            <w:left w:val="none" w:sz="0" w:space="0" w:color="auto"/>
            <w:bottom w:val="none" w:sz="0" w:space="0" w:color="auto"/>
            <w:right w:val="none" w:sz="0" w:space="0" w:color="auto"/>
          </w:divBdr>
        </w:div>
        <w:div w:id="20668977">
          <w:marLeft w:val="0"/>
          <w:marRight w:val="0"/>
          <w:marTop w:val="0"/>
          <w:marBottom w:val="0"/>
          <w:divBdr>
            <w:top w:val="none" w:sz="0" w:space="0" w:color="auto"/>
            <w:left w:val="none" w:sz="0" w:space="0" w:color="auto"/>
            <w:bottom w:val="none" w:sz="0" w:space="0" w:color="auto"/>
            <w:right w:val="none" w:sz="0" w:space="0" w:color="auto"/>
          </w:divBdr>
        </w:div>
        <w:div w:id="559482697">
          <w:marLeft w:val="0"/>
          <w:marRight w:val="0"/>
          <w:marTop w:val="0"/>
          <w:marBottom w:val="0"/>
          <w:divBdr>
            <w:top w:val="none" w:sz="0" w:space="0" w:color="auto"/>
            <w:left w:val="none" w:sz="0" w:space="0" w:color="auto"/>
            <w:bottom w:val="none" w:sz="0" w:space="0" w:color="auto"/>
            <w:right w:val="none" w:sz="0" w:space="0" w:color="auto"/>
          </w:divBdr>
        </w:div>
        <w:div w:id="130828479">
          <w:marLeft w:val="0"/>
          <w:marRight w:val="0"/>
          <w:marTop w:val="0"/>
          <w:marBottom w:val="0"/>
          <w:divBdr>
            <w:top w:val="none" w:sz="0" w:space="0" w:color="auto"/>
            <w:left w:val="none" w:sz="0" w:space="0" w:color="auto"/>
            <w:bottom w:val="none" w:sz="0" w:space="0" w:color="auto"/>
            <w:right w:val="none" w:sz="0" w:space="0" w:color="auto"/>
          </w:divBdr>
        </w:div>
        <w:div w:id="1703551333">
          <w:marLeft w:val="0"/>
          <w:marRight w:val="0"/>
          <w:marTop w:val="0"/>
          <w:marBottom w:val="0"/>
          <w:divBdr>
            <w:top w:val="none" w:sz="0" w:space="0" w:color="auto"/>
            <w:left w:val="none" w:sz="0" w:space="0" w:color="auto"/>
            <w:bottom w:val="none" w:sz="0" w:space="0" w:color="auto"/>
            <w:right w:val="none" w:sz="0" w:space="0" w:color="auto"/>
          </w:divBdr>
        </w:div>
        <w:div w:id="765729844">
          <w:marLeft w:val="0"/>
          <w:marRight w:val="0"/>
          <w:marTop w:val="0"/>
          <w:marBottom w:val="0"/>
          <w:divBdr>
            <w:top w:val="none" w:sz="0" w:space="0" w:color="auto"/>
            <w:left w:val="none" w:sz="0" w:space="0" w:color="auto"/>
            <w:bottom w:val="none" w:sz="0" w:space="0" w:color="auto"/>
            <w:right w:val="none" w:sz="0" w:space="0" w:color="auto"/>
          </w:divBdr>
        </w:div>
        <w:div w:id="92173168">
          <w:marLeft w:val="0"/>
          <w:marRight w:val="0"/>
          <w:marTop w:val="0"/>
          <w:marBottom w:val="0"/>
          <w:divBdr>
            <w:top w:val="none" w:sz="0" w:space="0" w:color="auto"/>
            <w:left w:val="none" w:sz="0" w:space="0" w:color="auto"/>
            <w:bottom w:val="none" w:sz="0" w:space="0" w:color="auto"/>
            <w:right w:val="none" w:sz="0" w:space="0" w:color="auto"/>
          </w:divBdr>
        </w:div>
        <w:div w:id="985815238">
          <w:marLeft w:val="0"/>
          <w:marRight w:val="0"/>
          <w:marTop w:val="0"/>
          <w:marBottom w:val="0"/>
          <w:divBdr>
            <w:top w:val="none" w:sz="0" w:space="0" w:color="auto"/>
            <w:left w:val="none" w:sz="0" w:space="0" w:color="auto"/>
            <w:bottom w:val="none" w:sz="0" w:space="0" w:color="auto"/>
            <w:right w:val="none" w:sz="0" w:space="0" w:color="auto"/>
          </w:divBdr>
        </w:div>
        <w:div w:id="1488089965">
          <w:marLeft w:val="0"/>
          <w:marRight w:val="0"/>
          <w:marTop w:val="0"/>
          <w:marBottom w:val="0"/>
          <w:divBdr>
            <w:top w:val="none" w:sz="0" w:space="0" w:color="auto"/>
            <w:left w:val="none" w:sz="0" w:space="0" w:color="auto"/>
            <w:bottom w:val="none" w:sz="0" w:space="0" w:color="auto"/>
            <w:right w:val="none" w:sz="0" w:space="0" w:color="auto"/>
          </w:divBdr>
        </w:div>
        <w:div w:id="1373848673">
          <w:marLeft w:val="0"/>
          <w:marRight w:val="0"/>
          <w:marTop w:val="0"/>
          <w:marBottom w:val="0"/>
          <w:divBdr>
            <w:top w:val="none" w:sz="0" w:space="0" w:color="auto"/>
            <w:left w:val="none" w:sz="0" w:space="0" w:color="auto"/>
            <w:bottom w:val="none" w:sz="0" w:space="0" w:color="auto"/>
            <w:right w:val="none" w:sz="0" w:space="0" w:color="auto"/>
          </w:divBdr>
        </w:div>
        <w:div w:id="1458059469">
          <w:marLeft w:val="0"/>
          <w:marRight w:val="0"/>
          <w:marTop w:val="0"/>
          <w:marBottom w:val="0"/>
          <w:divBdr>
            <w:top w:val="none" w:sz="0" w:space="0" w:color="auto"/>
            <w:left w:val="none" w:sz="0" w:space="0" w:color="auto"/>
            <w:bottom w:val="none" w:sz="0" w:space="0" w:color="auto"/>
            <w:right w:val="none" w:sz="0" w:space="0" w:color="auto"/>
          </w:divBdr>
        </w:div>
      </w:divsChild>
    </w:div>
    <w:div w:id="1142426094">
      <w:bodyDiv w:val="1"/>
      <w:marLeft w:val="0"/>
      <w:marRight w:val="0"/>
      <w:marTop w:val="0"/>
      <w:marBottom w:val="0"/>
      <w:divBdr>
        <w:top w:val="none" w:sz="0" w:space="0" w:color="auto"/>
        <w:left w:val="none" w:sz="0" w:space="0" w:color="auto"/>
        <w:bottom w:val="none" w:sz="0" w:space="0" w:color="auto"/>
        <w:right w:val="none" w:sz="0" w:space="0" w:color="auto"/>
      </w:divBdr>
      <w:divsChild>
        <w:div w:id="1729264063">
          <w:marLeft w:val="0"/>
          <w:marRight w:val="0"/>
          <w:marTop w:val="0"/>
          <w:marBottom w:val="0"/>
          <w:divBdr>
            <w:top w:val="none" w:sz="0" w:space="0" w:color="auto"/>
            <w:left w:val="none" w:sz="0" w:space="0" w:color="auto"/>
            <w:bottom w:val="none" w:sz="0" w:space="0" w:color="auto"/>
            <w:right w:val="none" w:sz="0" w:space="0" w:color="auto"/>
          </w:divBdr>
        </w:div>
        <w:div w:id="894926196">
          <w:marLeft w:val="0"/>
          <w:marRight w:val="0"/>
          <w:marTop w:val="0"/>
          <w:marBottom w:val="0"/>
          <w:divBdr>
            <w:top w:val="none" w:sz="0" w:space="0" w:color="auto"/>
            <w:left w:val="none" w:sz="0" w:space="0" w:color="auto"/>
            <w:bottom w:val="none" w:sz="0" w:space="0" w:color="auto"/>
            <w:right w:val="none" w:sz="0" w:space="0" w:color="auto"/>
          </w:divBdr>
        </w:div>
        <w:div w:id="2077121972">
          <w:marLeft w:val="0"/>
          <w:marRight w:val="0"/>
          <w:marTop w:val="0"/>
          <w:marBottom w:val="0"/>
          <w:divBdr>
            <w:top w:val="none" w:sz="0" w:space="0" w:color="auto"/>
            <w:left w:val="none" w:sz="0" w:space="0" w:color="auto"/>
            <w:bottom w:val="none" w:sz="0" w:space="0" w:color="auto"/>
            <w:right w:val="none" w:sz="0" w:space="0" w:color="auto"/>
          </w:divBdr>
        </w:div>
        <w:div w:id="1844397476">
          <w:marLeft w:val="0"/>
          <w:marRight w:val="0"/>
          <w:marTop w:val="0"/>
          <w:marBottom w:val="0"/>
          <w:divBdr>
            <w:top w:val="none" w:sz="0" w:space="0" w:color="auto"/>
            <w:left w:val="none" w:sz="0" w:space="0" w:color="auto"/>
            <w:bottom w:val="none" w:sz="0" w:space="0" w:color="auto"/>
            <w:right w:val="none" w:sz="0" w:space="0" w:color="auto"/>
          </w:divBdr>
        </w:div>
      </w:divsChild>
    </w:div>
    <w:div w:id="1404718691">
      <w:bodyDiv w:val="1"/>
      <w:marLeft w:val="0"/>
      <w:marRight w:val="0"/>
      <w:marTop w:val="0"/>
      <w:marBottom w:val="0"/>
      <w:divBdr>
        <w:top w:val="none" w:sz="0" w:space="0" w:color="auto"/>
        <w:left w:val="none" w:sz="0" w:space="0" w:color="auto"/>
        <w:bottom w:val="none" w:sz="0" w:space="0" w:color="auto"/>
        <w:right w:val="none" w:sz="0" w:space="0" w:color="auto"/>
      </w:divBdr>
      <w:divsChild>
        <w:div w:id="2120248471">
          <w:marLeft w:val="0"/>
          <w:marRight w:val="0"/>
          <w:marTop w:val="0"/>
          <w:marBottom w:val="0"/>
          <w:divBdr>
            <w:top w:val="none" w:sz="0" w:space="0" w:color="auto"/>
            <w:left w:val="none" w:sz="0" w:space="0" w:color="auto"/>
            <w:bottom w:val="none" w:sz="0" w:space="0" w:color="auto"/>
            <w:right w:val="none" w:sz="0" w:space="0" w:color="auto"/>
          </w:divBdr>
        </w:div>
        <w:div w:id="2005428256">
          <w:marLeft w:val="0"/>
          <w:marRight w:val="0"/>
          <w:marTop w:val="0"/>
          <w:marBottom w:val="0"/>
          <w:divBdr>
            <w:top w:val="none" w:sz="0" w:space="0" w:color="auto"/>
            <w:left w:val="none" w:sz="0" w:space="0" w:color="auto"/>
            <w:bottom w:val="none" w:sz="0" w:space="0" w:color="auto"/>
            <w:right w:val="none" w:sz="0" w:space="0" w:color="auto"/>
          </w:divBdr>
        </w:div>
        <w:div w:id="698821059">
          <w:marLeft w:val="0"/>
          <w:marRight w:val="0"/>
          <w:marTop w:val="0"/>
          <w:marBottom w:val="0"/>
          <w:divBdr>
            <w:top w:val="none" w:sz="0" w:space="0" w:color="auto"/>
            <w:left w:val="none" w:sz="0" w:space="0" w:color="auto"/>
            <w:bottom w:val="none" w:sz="0" w:space="0" w:color="auto"/>
            <w:right w:val="none" w:sz="0" w:space="0" w:color="auto"/>
          </w:divBdr>
        </w:div>
        <w:div w:id="578758414">
          <w:marLeft w:val="0"/>
          <w:marRight w:val="0"/>
          <w:marTop w:val="0"/>
          <w:marBottom w:val="0"/>
          <w:divBdr>
            <w:top w:val="none" w:sz="0" w:space="0" w:color="auto"/>
            <w:left w:val="none" w:sz="0" w:space="0" w:color="auto"/>
            <w:bottom w:val="none" w:sz="0" w:space="0" w:color="auto"/>
            <w:right w:val="none" w:sz="0" w:space="0" w:color="auto"/>
          </w:divBdr>
        </w:div>
      </w:divsChild>
    </w:div>
    <w:div w:id="1486628019">
      <w:bodyDiv w:val="1"/>
      <w:marLeft w:val="0"/>
      <w:marRight w:val="0"/>
      <w:marTop w:val="0"/>
      <w:marBottom w:val="0"/>
      <w:divBdr>
        <w:top w:val="none" w:sz="0" w:space="0" w:color="auto"/>
        <w:left w:val="none" w:sz="0" w:space="0" w:color="auto"/>
        <w:bottom w:val="none" w:sz="0" w:space="0" w:color="auto"/>
        <w:right w:val="none" w:sz="0" w:space="0" w:color="auto"/>
      </w:divBdr>
      <w:divsChild>
        <w:div w:id="2037387962">
          <w:marLeft w:val="0"/>
          <w:marRight w:val="0"/>
          <w:marTop w:val="0"/>
          <w:marBottom w:val="0"/>
          <w:divBdr>
            <w:top w:val="none" w:sz="0" w:space="0" w:color="auto"/>
            <w:left w:val="none" w:sz="0" w:space="0" w:color="auto"/>
            <w:bottom w:val="none" w:sz="0" w:space="0" w:color="auto"/>
            <w:right w:val="none" w:sz="0" w:space="0" w:color="auto"/>
          </w:divBdr>
        </w:div>
        <w:div w:id="2003854337">
          <w:marLeft w:val="0"/>
          <w:marRight w:val="0"/>
          <w:marTop w:val="0"/>
          <w:marBottom w:val="0"/>
          <w:divBdr>
            <w:top w:val="none" w:sz="0" w:space="0" w:color="auto"/>
            <w:left w:val="none" w:sz="0" w:space="0" w:color="auto"/>
            <w:bottom w:val="none" w:sz="0" w:space="0" w:color="auto"/>
            <w:right w:val="none" w:sz="0" w:space="0" w:color="auto"/>
          </w:divBdr>
        </w:div>
        <w:div w:id="507720044">
          <w:marLeft w:val="0"/>
          <w:marRight w:val="0"/>
          <w:marTop w:val="0"/>
          <w:marBottom w:val="0"/>
          <w:divBdr>
            <w:top w:val="none" w:sz="0" w:space="0" w:color="auto"/>
            <w:left w:val="none" w:sz="0" w:space="0" w:color="auto"/>
            <w:bottom w:val="none" w:sz="0" w:space="0" w:color="auto"/>
            <w:right w:val="none" w:sz="0" w:space="0" w:color="auto"/>
          </w:divBdr>
        </w:div>
      </w:divsChild>
    </w:div>
    <w:div w:id="1506437507">
      <w:bodyDiv w:val="1"/>
      <w:marLeft w:val="0"/>
      <w:marRight w:val="0"/>
      <w:marTop w:val="0"/>
      <w:marBottom w:val="0"/>
      <w:divBdr>
        <w:top w:val="none" w:sz="0" w:space="0" w:color="auto"/>
        <w:left w:val="none" w:sz="0" w:space="0" w:color="auto"/>
        <w:bottom w:val="none" w:sz="0" w:space="0" w:color="auto"/>
        <w:right w:val="none" w:sz="0" w:space="0" w:color="auto"/>
      </w:divBdr>
      <w:divsChild>
        <w:div w:id="306323331">
          <w:marLeft w:val="0"/>
          <w:marRight w:val="0"/>
          <w:marTop w:val="0"/>
          <w:marBottom w:val="0"/>
          <w:divBdr>
            <w:top w:val="none" w:sz="0" w:space="0" w:color="auto"/>
            <w:left w:val="none" w:sz="0" w:space="0" w:color="auto"/>
            <w:bottom w:val="none" w:sz="0" w:space="0" w:color="auto"/>
            <w:right w:val="none" w:sz="0" w:space="0" w:color="auto"/>
          </w:divBdr>
        </w:div>
        <w:div w:id="1932468400">
          <w:marLeft w:val="0"/>
          <w:marRight w:val="0"/>
          <w:marTop w:val="0"/>
          <w:marBottom w:val="0"/>
          <w:divBdr>
            <w:top w:val="none" w:sz="0" w:space="0" w:color="auto"/>
            <w:left w:val="none" w:sz="0" w:space="0" w:color="auto"/>
            <w:bottom w:val="none" w:sz="0" w:space="0" w:color="auto"/>
            <w:right w:val="none" w:sz="0" w:space="0" w:color="auto"/>
          </w:divBdr>
        </w:div>
      </w:divsChild>
    </w:div>
    <w:div w:id="1526820539">
      <w:bodyDiv w:val="1"/>
      <w:marLeft w:val="0"/>
      <w:marRight w:val="0"/>
      <w:marTop w:val="0"/>
      <w:marBottom w:val="0"/>
      <w:divBdr>
        <w:top w:val="none" w:sz="0" w:space="0" w:color="auto"/>
        <w:left w:val="none" w:sz="0" w:space="0" w:color="auto"/>
        <w:bottom w:val="none" w:sz="0" w:space="0" w:color="auto"/>
        <w:right w:val="none" w:sz="0" w:space="0" w:color="auto"/>
      </w:divBdr>
      <w:divsChild>
        <w:div w:id="325322454">
          <w:marLeft w:val="0"/>
          <w:marRight w:val="0"/>
          <w:marTop w:val="0"/>
          <w:marBottom w:val="0"/>
          <w:divBdr>
            <w:top w:val="none" w:sz="0" w:space="0" w:color="auto"/>
            <w:left w:val="none" w:sz="0" w:space="0" w:color="auto"/>
            <w:bottom w:val="none" w:sz="0" w:space="0" w:color="auto"/>
            <w:right w:val="none" w:sz="0" w:space="0" w:color="auto"/>
          </w:divBdr>
        </w:div>
        <w:div w:id="1073893272">
          <w:marLeft w:val="0"/>
          <w:marRight w:val="0"/>
          <w:marTop w:val="0"/>
          <w:marBottom w:val="0"/>
          <w:divBdr>
            <w:top w:val="none" w:sz="0" w:space="0" w:color="auto"/>
            <w:left w:val="none" w:sz="0" w:space="0" w:color="auto"/>
            <w:bottom w:val="none" w:sz="0" w:space="0" w:color="auto"/>
            <w:right w:val="none" w:sz="0" w:space="0" w:color="auto"/>
          </w:divBdr>
        </w:div>
      </w:divsChild>
    </w:div>
    <w:div w:id="1618831152">
      <w:bodyDiv w:val="1"/>
      <w:marLeft w:val="0"/>
      <w:marRight w:val="0"/>
      <w:marTop w:val="0"/>
      <w:marBottom w:val="0"/>
      <w:divBdr>
        <w:top w:val="none" w:sz="0" w:space="0" w:color="auto"/>
        <w:left w:val="none" w:sz="0" w:space="0" w:color="auto"/>
        <w:bottom w:val="none" w:sz="0" w:space="0" w:color="auto"/>
        <w:right w:val="none" w:sz="0" w:space="0" w:color="auto"/>
      </w:divBdr>
      <w:divsChild>
        <w:div w:id="72704329">
          <w:marLeft w:val="0"/>
          <w:marRight w:val="0"/>
          <w:marTop w:val="0"/>
          <w:marBottom w:val="75"/>
          <w:divBdr>
            <w:top w:val="none" w:sz="0" w:space="0" w:color="auto"/>
            <w:left w:val="none" w:sz="0" w:space="0" w:color="auto"/>
            <w:bottom w:val="none" w:sz="0" w:space="0" w:color="auto"/>
            <w:right w:val="none" w:sz="0" w:space="0" w:color="auto"/>
          </w:divBdr>
          <w:divsChild>
            <w:div w:id="1583760265">
              <w:marLeft w:val="0"/>
              <w:marRight w:val="0"/>
              <w:marTop w:val="0"/>
              <w:marBottom w:val="0"/>
              <w:divBdr>
                <w:top w:val="none" w:sz="0" w:space="0" w:color="auto"/>
                <w:left w:val="none" w:sz="0" w:space="0" w:color="auto"/>
                <w:bottom w:val="none" w:sz="0" w:space="0" w:color="auto"/>
                <w:right w:val="none" w:sz="0" w:space="0" w:color="auto"/>
              </w:divBdr>
              <w:divsChild>
                <w:div w:id="146678595">
                  <w:marLeft w:val="0"/>
                  <w:marRight w:val="0"/>
                  <w:marTop w:val="0"/>
                  <w:marBottom w:val="0"/>
                  <w:divBdr>
                    <w:top w:val="none" w:sz="0" w:space="0" w:color="auto"/>
                    <w:left w:val="none" w:sz="0" w:space="0" w:color="auto"/>
                    <w:bottom w:val="none" w:sz="0" w:space="0" w:color="auto"/>
                    <w:right w:val="none" w:sz="0" w:space="0" w:color="auto"/>
                  </w:divBdr>
                </w:div>
                <w:div w:id="1608194971">
                  <w:marLeft w:val="0"/>
                  <w:marRight w:val="0"/>
                  <w:marTop w:val="0"/>
                  <w:marBottom w:val="0"/>
                  <w:divBdr>
                    <w:top w:val="none" w:sz="0" w:space="0" w:color="auto"/>
                    <w:left w:val="none" w:sz="0" w:space="0" w:color="auto"/>
                    <w:bottom w:val="none" w:sz="0" w:space="0" w:color="auto"/>
                    <w:right w:val="none" w:sz="0" w:space="0" w:color="auto"/>
                  </w:divBdr>
                </w:div>
                <w:div w:id="401222160">
                  <w:marLeft w:val="0"/>
                  <w:marRight w:val="0"/>
                  <w:marTop w:val="0"/>
                  <w:marBottom w:val="0"/>
                  <w:divBdr>
                    <w:top w:val="none" w:sz="0" w:space="0" w:color="auto"/>
                    <w:left w:val="none" w:sz="0" w:space="0" w:color="auto"/>
                    <w:bottom w:val="none" w:sz="0" w:space="0" w:color="auto"/>
                    <w:right w:val="none" w:sz="0" w:space="0" w:color="auto"/>
                  </w:divBdr>
                </w:div>
                <w:div w:id="9989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2543">
      <w:bodyDiv w:val="1"/>
      <w:marLeft w:val="0"/>
      <w:marRight w:val="0"/>
      <w:marTop w:val="0"/>
      <w:marBottom w:val="0"/>
      <w:divBdr>
        <w:top w:val="none" w:sz="0" w:space="0" w:color="auto"/>
        <w:left w:val="none" w:sz="0" w:space="0" w:color="auto"/>
        <w:bottom w:val="none" w:sz="0" w:space="0" w:color="auto"/>
        <w:right w:val="none" w:sz="0" w:space="0" w:color="auto"/>
      </w:divBdr>
      <w:divsChild>
        <w:div w:id="759251125">
          <w:marLeft w:val="0"/>
          <w:marRight w:val="0"/>
          <w:marTop w:val="0"/>
          <w:marBottom w:val="0"/>
          <w:divBdr>
            <w:top w:val="none" w:sz="0" w:space="0" w:color="auto"/>
            <w:left w:val="none" w:sz="0" w:space="0" w:color="auto"/>
            <w:bottom w:val="none" w:sz="0" w:space="0" w:color="auto"/>
            <w:right w:val="none" w:sz="0" w:space="0" w:color="auto"/>
          </w:divBdr>
        </w:div>
        <w:div w:id="1754818706">
          <w:marLeft w:val="0"/>
          <w:marRight w:val="0"/>
          <w:marTop w:val="0"/>
          <w:marBottom w:val="0"/>
          <w:divBdr>
            <w:top w:val="none" w:sz="0" w:space="0" w:color="auto"/>
            <w:left w:val="none" w:sz="0" w:space="0" w:color="auto"/>
            <w:bottom w:val="none" w:sz="0" w:space="0" w:color="auto"/>
            <w:right w:val="none" w:sz="0" w:space="0" w:color="auto"/>
          </w:divBdr>
        </w:div>
        <w:div w:id="1158426342">
          <w:marLeft w:val="0"/>
          <w:marRight w:val="0"/>
          <w:marTop w:val="0"/>
          <w:marBottom w:val="0"/>
          <w:divBdr>
            <w:top w:val="none" w:sz="0" w:space="0" w:color="auto"/>
            <w:left w:val="none" w:sz="0" w:space="0" w:color="auto"/>
            <w:bottom w:val="none" w:sz="0" w:space="0" w:color="auto"/>
            <w:right w:val="none" w:sz="0" w:space="0" w:color="auto"/>
          </w:divBdr>
        </w:div>
        <w:div w:id="1004163863">
          <w:marLeft w:val="0"/>
          <w:marRight w:val="0"/>
          <w:marTop w:val="0"/>
          <w:marBottom w:val="0"/>
          <w:divBdr>
            <w:top w:val="none" w:sz="0" w:space="0" w:color="auto"/>
            <w:left w:val="none" w:sz="0" w:space="0" w:color="auto"/>
            <w:bottom w:val="none" w:sz="0" w:space="0" w:color="auto"/>
            <w:right w:val="none" w:sz="0" w:space="0" w:color="auto"/>
          </w:divBdr>
        </w:div>
        <w:div w:id="731119866">
          <w:marLeft w:val="0"/>
          <w:marRight w:val="0"/>
          <w:marTop w:val="0"/>
          <w:marBottom w:val="0"/>
          <w:divBdr>
            <w:top w:val="none" w:sz="0" w:space="0" w:color="auto"/>
            <w:left w:val="none" w:sz="0" w:space="0" w:color="auto"/>
            <w:bottom w:val="none" w:sz="0" w:space="0" w:color="auto"/>
            <w:right w:val="none" w:sz="0" w:space="0" w:color="auto"/>
          </w:divBdr>
        </w:div>
        <w:div w:id="1871525489">
          <w:marLeft w:val="0"/>
          <w:marRight w:val="0"/>
          <w:marTop w:val="0"/>
          <w:marBottom w:val="0"/>
          <w:divBdr>
            <w:top w:val="none" w:sz="0" w:space="0" w:color="auto"/>
            <w:left w:val="none" w:sz="0" w:space="0" w:color="auto"/>
            <w:bottom w:val="none" w:sz="0" w:space="0" w:color="auto"/>
            <w:right w:val="none" w:sz="0" w:space="0" w:color="auto"/>
          </w:divBdr>
        </w:div>
        <w:div w:id="718166003">
          <w:marLeft w:val="0"/>
          <w:marRight w:val="0"/>
          <w:marTop w:val="0"/>
          <w:marBottom w:val="0"/>
          <w:divBdr>
            <w:top w:val="none" w:sz="0" w:space="0" w:color="auto"/>
            <w:left w:val="none" w:sz="0" w:space="0" w:color="auto"/>
            <w:bottom w:val="none" w:sz="0" w:space="0" w:color="auto"/>
            <w:right w:val="none" w:sz="0" w:space="0" w:color="auto"/>
          </w:divBdr>
        </w:div>
        <w:div w:id="517622058">
          <w:marLeft w:val="0"/>
          <w:marRight w:val="0"/>
          <w:marTop w:val="0"/>
          <w:marBottom w:val="0"/>
          <w:divBdr>
            <w:top w:val="none" w:sz="0" w:space="0" w:color="auto"/>
            <w:left w:val="none" w:sz="0" w:space="0" w:color="auto"/>
            <w:bottom w:val="none" w:sz="0" w:space="0" w:color="auto"/>
            <w:right w:val="none" w:sz="0" w:space="0" w:color="auto"/>
          </w:divBdr>
        </w:div>
        <w:div w:id="2114323636">
          <w:marLeft w:val="0"/>
          <w:marRight w:val="0"/>
          <w:marTop w:val="0"/>
          <w:marBottom w:val="0"/>
          <w:divBdr>
            <w:top w:val="none" w:sz="0" w:space="0" w:color="auto"/>
            <w:left w:val="none" w:sz="0" w:space="0" w:color="auto"/>
            <w:bottom w:val="none" w:sz="0" w:space="0" w:color="auto"/>
            <w:right w:val="none" w:sz="0" w:space="0" w:color="auto"/>
          </w:divBdr>
        </w:div>
      </w:divsChild>
    </w:div>
    <w:div w:id="1717777120">
      <w:bodyDiv w:val="1"/>
      <w:marLeft w:val="0"/>
      <w:marRight w:val="0"/>
      <w:marTop w:val="0"/>
      <w:marBottom w:val="0"/>
      <w:divBdr>
        <w:top w:val="none" w:sz="0" w:space="0" w:color="auto"/>
        <w:left w:val="none" w:sz="0" w:space="0" w:color="auto"/>
        <w:bottom w:val="none" w:sz="0" w:space="0" w:color="auto"/>
        <w:right w:val="none" w:sz="0" w:space="0" w:color="auto"/>
      </w:divBdr>
      <w:divsChild>
        <w:div w:id="978151219">
          <w:marLeft w:val="0"/>
          <w:marRight w:val="0"/>
          <w:marTop w:val="0"/>
          <w:marBottom w:val="0"/>
          <w:divBdr>
            <w:top w:val="none" w:sz="0" w:space="0" w:color="auto"/>
            <w:left w:val="none" w:sz="0" w:space="0" w:color="auto"/>
            <w:bottom w:val="none" w:sz="0" w:space="0" w:color="auto"/>
            <w:right w:val="none" w:sz="0" w:space="0" w:color="auto"/>
          </w:divBdr>
        </w:div>
        <w:div w:id="751319168">
          <w:marLeft w:val="0"/>
          <w:marRight w:val="0"/>
          <w:marTop w:val="0"/>
          <w:marBottom w:val="0"/>
          <w:divBdr>
            <w:top w:val="none" w:sz="0" w:space="0" w:color="auto"/>
            <w:left w:val="none" w:sz="0" w:space="0" w:color="auto"/>
            <w:bottom w:val="none" w:sz="0" w:space="0" w:color="auto"/>
            <w:right w:val="none" w:sz="0" w:space="0" w:color="auto"/>
          </w:divBdr>
        </w:div>
        <w:div w:id="685907082">
          <w:marLeft w:val="0"/>
          <w:marRight w:val="0"/>
          <w:marTop w:val="0"/>
          <w:marBottom w:val="0"/>
          <w:divBdr>
            <w:top w:val="none" w:sz="0" w:space="0" w:color="auto"/>
            <w:left w:val="none" w:sz="0" w:space="0" w:color="auto"/>
            <w:bottom w:val="none" w:sz="0" w:space="0" w:color="auto"/>
            <w:right w:val="none" w:sz="0" w:space="0" w:color="auto"/>
          </w:divBdr>
        </w:div>
        <w:div w:id="1523519356">
          <w:marLeft w:val="0"/>
          <w:marRight w:val="0"/>
          <w:marTop w:val="0"/>
          <w:marBottom w:val="0"/>
          <w:divBdr>
            <w:top w:val="none" w:sz="0" w:space="0" w:color="auto"/>
            <w:left w:val="none" w:sz="0" w:space="0" w:color="auto"/>
            <w:bottom w:val="none" w:sz="0" w:space="0" w:color="auto"/>
            <w:right w:val="none" w:sz="0" w:space="0" w:color="auto"/>
          </w:divBdr>
        </w:div>
      </w:divsChild>
    </w:div>
    <w:div w:id="1770155567">
      <w:bodyDiv w:val="1"/>
      <w:marLeft w:val="0"/>
      <w:marRight w:val="0"/>
      <w:marTop w:val="0"/>
      <w:marBottom w:val="0"/>
      <w:divBdr>
        <w:top w:val="none" w:sz="0" w:space="0" w:color="auto"/>
        <w:left w:val="none" w:sz="0" w:space="0" w:color="auto"/>
        <w:bottom w:val="none" w:sz="0" w:space="0" w:color="auto"/>
        <w:right w:val="none" w:sz="0" w:space="0" w:color="auto"/>
      </w:divBdr>
      <w:divsChild>
        <w:div w:id="125583272">
          <w:marLeft w:val="0"/>
          <w:marRight w:val="0"/>
          <w:marTop w:val="0"/>
          <w:marBottom w:val="0"/>
          <w:divBdr>
            <w:top w:val="none" w:sz="0" w:space="0" w:color="auto"/>
            <w:left w:val="none" w:sz="0" w:space="0" w:color="auto"/>
            <w:bottom w:val="none" w:sz="0" w:space="0" w:color="auto"/>
            <w:right w:val="none" w:sz="0" w:space="0" w:color="auto"/>
          </w:divBdr>
        </w:div>
        <w:div w:id="909269204">
          <w:marLeft w:val="0"/>
          <w:marRight w:val="0"/>
          <w:marTop w:val="0"/>
          <w:marBottom w:val="0"/>
          <w:divBdr>
            <w:top w:val="none" w:sz="0" w:space="0" w:color="auto"/>
            <w:left w:val="none" w:sz="0" w:space="0" w:color="auto"/>
            <w:bottom w:val="none" w:sz="0" w:space="0" w:color="auto"/>
            <w:right w:val="none" w:sz="0" w:space="0" w:color="auto"/>
          </w:divBdr>
        </w:div>
        <w:div w:id="1650481534">
          <w:marLeft w:val="0"/>
          <w:marRight w:val="0"/>
          <w:marTop w:val="0"/>
          <w:marBottom w:val="0"/>
          <w:divBdr>
            <w:top w:val="none" w:sz="0" w:space="0" w:color="auto"/>
            <w:left w:val="none" w:sz="0" w:space="0" w:color="auto"/>
            <w:bottom w:val="none" w:sz="0" w:space="0" w:color="auto"/>
            <w:right w:val="none" w:sz="0" w:space="0" w:color="auto"/>
          </w:divBdr>
        </w:div>
        <w:div w:id="1460490472">
          <w:marLeft w:val="0"/>
          <w:marRight w:val="0"/>
          <w:marTop w:val="0"/>
          <w:marBottom w:val="0"/>
          <w:divBdr>
            <w:top w:val="none" w:sz="0" w:space="0" w:color="auto"/>
            <w:left w:val="none" w:sz="0" w:space="0" w:color="auto"/>
            <w:bottom w:val="none" w:sz="0" w:space="0" w:color="auto"/>
            <w:right w:val="none" w:sz="0" w:space="0" w:color="auto"/>
          </w:divBdr>
        </w:div>
        <w:div w:id="74665023">
          <w:marLeft w:val="0"/>
          <w:marRight w:val="0"/>
          <w:marTop w:val="0"/>
          <w:marBottom w:val="0"/>
          <w:divBdr>
            <w:top w:val="none" w:sz="0" w:space="0" w:color="auto"/>
            <w:left w:val="none" w:sz="0" w:space="0" w:color="auto"/>
            <w:bottom w:val="none" w:sz="0" w:space="0" w:color="auto"/>
            <w:right w:val="none" w:sz="0" w:space="0" w:color="auto"/>
          </w:divBdr>
        </w:div>
        <w:div w:id="472718498">
          <w:marLeft w:val="0"/>
          <w:marRight w:val="0"/>
          <w:marTop w:val="0"/>
          <w:marBottom w:val="0"/>
          <w:divBdr>
            <w:top w:val="none" w:sz="0" w:space="0" w:color="auto"/>
            <w:left w:val="none" w:sz="0" w:space="0" w:color="auto"/>
            <w:bottom w:val="none" w:sz="0" w:space="0" w:color="auto"/>
            <w:right w:val="none" w:sz="0" w:space="0" w:color="auto"/>
          </w:divBdr>
        </w:div>
        <w:div w:id="339046721">
          <w:marLeft w:val="0"/>
          <w:marRight w:val="0"/>
          <w:marTop w:val="0"/>
          <w:marBottom w:val="0"/>
          <w:divBdr>
            <w:top w:val="none" w:sz="0" w:space="0" w:color="auto"/>
            <w:left w:val="none" w:sz="0" w:space="0" w:color="auto"/>
            <w:bottom w:val="none" w:sz="0" w:space="0" w:color="auto"/>
            <w:right w:val="none" w:sz="0" w:space="0" w:color="auto"/>
          </w:divBdr>
        </w:div>
        <w:div w:id="40204711">
          <w:marLeft w:val="0"/>
          <w:marRight w:val="0"/>
          <w:marTop w:val="0"/>
          <w:marBottom w:val="0"/>
          <w:divBdr>
            <w:top w:val="none" w:sz="0" w:space="0" w:color="auto"/>
            <w:left w:val="none" w:sz="0" w:space="0" w:color="auto"/>
            <w:bottom w:val="none" w:sz="0" w:space="0" w:color="auto"/>
            <w:right w:val="none" w:sz="0" w:space="0" w:color="auto"/>
          </w:divBdr>
        </w:div>
        <w:div w:id="353460771">
          <w:marLeft w:val="0"/>
          <w:marRight w:val="0"/>
          <w:marTop w:val="0"/>
          <w:marBottom w:val="0"/>
          <w:divBdr>
            <w:top w:val="none" w:sz="0" w:space="0" w:color="auto"/>
            <w:left w:val="none" w:sz="0" w:space="0" w:color="auto"/>
            <w:bottom w:val="none" w:sz="0" w:space="0" w:color="auto"/>
            <w:right w:val="none" w:sz="0" w:space="0" w:color="auto"/>
          </w:divBdr>
        </w:div>
        <w:div w:id="2108386478">
          <w:marLeft w:val="0"/>
          <w:marRight w:val="0"/>
          <w:marTop w:val="0"/>
          <w:marBottom w:val="0"/>
          <w:divBdr>
            <w:top w:val="none" w:sz="0" w:space="0" w:color="auto"/>
            <w:left w:val="none" w:sz="0" w:space="0" w:color="auto"/>
            <w:bottom w:val="none" w:sz="0" w:space="0" w:color="auto"/>
            <w:right w:val="none" w:sz="0" w:space="0" w:color="auto"/>
          </w:divBdr>
        </w:div>
        <w:div w:id="167865699">
          <w:marLeft w:val="0"/>
          <w:marRight w:val="0"/>
          <w:marTop w:val="0"/>
          <w:marBottom w:val="0"/>
          <w:divBdr>
            <w:top w:val="none" w:sz="0" w:space="0" w:color="auto"/>
            <w:left w:val="none" w:sz="0" w:space="0" w:color="auto"/>
            <w:bottom w:val="none" w:sz="0" w:space="0" w:color="auto"/>
            <w:right w:val="none" w:sz="0" w:space="0" w:color="auto"/>
          </w:divBdr>
        </w:div>
        <w:div w:id="313801584">
          <w:marLeft w:val="0"/>
          <w:marRight w:val="0"/>
          <w:marTop w:val="0"/>
          <w:marBottom w:val="0"/>
          <w:divBdr>
            <w:top w:val="none" w:sz="0" w:space="0" w:color="auto"/>
            <w:left w:val="none" w:sz="0" w:space="0" w:color="auto"/>
            <w:bottom w:val="none" w:sz="0" w:space="0" w:color="auto"/>
            <w:right w:val="none" w:sz="0" w:space="0" w:color="auto"/>
          </w:divBdr>
        </w:div>
        <w:div w:id="1594169163">
          <w:marLeft w:val="0"/>
          <w:marRight w:val="0"/>
          <w:marTop w:val="0"/>
          <w:marBottom w:val="0"/>
          <w:divBdr>
            <w:top w:val="none" w:sz="0" w:space="0" w:color="auto"/>
            <w:left w:val="none" w:sz="0" w:space="0" w:color="auto"/>
            <w:bottom w:val="none" w:sz="0" w:space="0" w:color="auto"/>
            <w:right w:val="none" w:sz="0" w:space="0" w:color="auto"/>
          </w:divBdr>
        </w:div>
        <w:div w:id="619262654">
          <w:marLeft w:val="0"/>
          <w:marRight w:val="0"/>
          <w:marTop w:val="0"/>
          <w:marBottom w:val="0"/>
          <w:divBdr>
            <w:top w:val="none" w:sz="0" w:space="0" w:color="auto"/>
            <w:left w:val="none" w:sz="0" w:space="0" w:color="auto"/>
            <w:bottom w:val="none" w:sz="0" w:space="0" w:color="auto"/>
            <w:right w:val="none" w:sz="0" w:space="0" w:color="auto"/>
          </w:divBdr>
        </w:div>
        <w:div w:id="1171218079">
          <w:marLeft w:val="0"/>
          <w:marRight w:val="0"/>
          <w:marTop w:val="0"/>
          <w:marBottom w:val="0"/>
          <w:divBdr>
            <w:top w:val="none" w:sz="0" w:space="0" w:color="auto"/>
            <w:left w:val="none" w:sz="0" w:space="0" w:color="auto"/>
            <w:bottom w:val="none" w:sz="0" w:space="0" w:color="auto"/>
            <w:right w:val="none" w:sz="0" w:space="0" w:color="auto"/>
          </w:divBdr>
        </w:div>
        <w:div w:id="816262042">
          <w:marLeft w:val="0"/>
          <w:marRight w:val="0"/>
          <w:marTop w:val="0"/>
          <w:marBottom w:val="0"/>
          <w:divBdr>
            <w:top w:val="none" w:sz="0" w:space="0" w:color="auto"/>
            <w:left w:val="none" w:sz="0" w:space="0" w:color="auto"/>
            <w:bottom w:val="none" w:sz="0" w:space="0" w:color="auto"/>
            <w:right w:val="none" w:sz="0" w:space="0" w:color="auto"/>
          </w:divBdr>
        </w:div>
        <w:div w:id="1086345543">
          <w:marLeft w:val="0"/>
          <w:marRight w:val="0"/>
          <w:marTop w:val="0"/>
          <w:marBottom w:val="0"/>
          <w:divBdr>
            <w:top w:val="none" w:sz="0" w:space="0" w:color="auto"/>
            <w:left w:val="none" w:sz="0" w:space="0" w:color="auto"/>
            <w:bottom w:val="none" w:sz="0" w:space="0" w:color="auto"/>
            <w:right w:val="none" w:sz="0" w:space="0" w:color="auto"/>
          </w:divBdr>
        </w:div>
      </w:divsChild>
    </w:div>
    <w:div w:id="1832330178">
      <w:bodyDiv w:val="1"/>
      <w:marLeft w:val="0"/>
      <w:marRight w:val="0"/>
      <w:marTop w:val="0"/>
      <w:marBottom w:val="0"/>
      <w:divBdr>
        <w:top w:val="none" w:sz="0" w:space="0" w:color="auto"/>
        <w:left w:val="none" w:sz="0" w:space="0" w:color="auto"/>
        <w:bottom w:val="none" w:sz="0" w:space="0" w:color="auto"/>
        <w:right w:val="none" w:sz="0" w:space="0" w:color="auto"/>
      </w:divBdr>
      <w:divsChild>
        <w:div w:id="1587298069">
          <w:marLeft w:val="0"/>
          <w:marRight w:val="0"/>
          <w:marTop w:val="0"/>
          <w:marBottom w:val="0"/>
          <w:divBdr>
            <w:top w:val="none" w:sz="0" w:space="0" w:color="auto"/>
            <w:left w:val="none" w:sz="0" w:space="0" w:color="auto"/>
            <w:bottom w:val="none" w:sz="0" w:space="0" w:color="auto"/>
            <w:right w:val="none" w:sz="0" w:space="0" w:color="auto"/>
          </w:divBdr>
        </w:div>
        <w:div w:id="652368596">
          <w:marLeft w:val="0"/>
          <w:marRight w:val="0"/>
          <w:marTop w:val="0"/>
          <w:marBottom w:val="0"/>
          <w:divBdr>
            <w:top w:val="none" w:sz="0" w:space="0" w:color="auto"/>
            <w:left w:val="none" w:sz="0" w:space="0" w:color="auto"/>
            <w:bottom w:val="none" w:sz="0" w:space="0" w:color="auto"/>
            <w:right w:val="none" w:sz="0" w:space="0" w:color="auto"/>
          </w:divBdr>
        </w:div>
        <w:div w:id="407001199">
          <w:marLeft w:val="0"/>
          <w:marRight w:val="0"/>
          <w:marTop w:val="0"/>
          <w:marBottom w:val="0"/>
          <w:divBdr>
            <w:top w:val="none" w:sz="0" w:space="0" w:color="auto"/>
            <w:left w:val="none" w:sz="0" w:space="0" w:color="auto"/>
            <w:bottom w:val="none" w:sz="0" w:space="0" w:color="auto"/>
            <w:right w:val="none" w:sz="0" w:space="0" w:color="auto"/>
          </w:divBdr>
        </w:div>
        <w:div w:id="835807096">
          <w:marLeft w:val="0"/>
          <w:marRight w:val="0"/>
          <w:marTop w:val="0"/>
          <w:marBottom w:val="0"/>
          <w:divBdr>
            <w:top w:val="none" w:sz="0" w:space="0" w:color="auto"/>
            <w:left w:val="none" w:sz="0" w:space="0" w:color="auto"/>
            <w:bottom w:val="none" w:sz="0" w:space="0" w:color="auto"/>
            <w:right w:val="none" w:sz="0" w:space="0" w:color="auto"/>
          </w:divBdr>
        </w:div>
        <w:div w:id="154953141">
          <w:marLeft w:val="0"/>
          <w:marRight w:val="0"/>
          <w:marTop w:val="0"/>
          <w:marBottom w:val="0"/>
          <w:divBdr>
            <w:top w:val="none" w:sz="0" w:space="0" w:color="auto"/>
            <w:left w:val="none" w:sz="0" w:space="0" w:color="auto"/>
            <w:bottom w:val="none" w:sz="0" w:space="0" w:color="auto"/>
            <w:right w:val="none" w:sz="0" w:space="0" w:color="auto"/>
          </w:divBdr>
        </w:div>
        <w:div w:id="79717540">
          <w:marLeft w:val="0"/>
          <w:marRight w:val="0"/>
          <w:marTop w:val="0"/>
          <w:marBottom w:val="0"/>
          <w:divBdr>
            <w:top w:val="none" w:sz="0" w:space="0" w:color="auto"/>
            <w:left w:val="none" w:sz="0" w:space="0" w:color="auto"/>
            <w:bottom w:val="none" w:sz="0" w:space="0" w:color="auto"/>
            <w:right w:val="none" w:sz="0" w:space="0" w:color="auto"/>
          </w:divBdr>
        </w:div>
        <w:div w:id="329910200">
          <w:marLeft w:val="0"/>
          <w:marRight w:val="0"/>
          <w:marTop w:val="0"/>
          <w:marBottom w:val="0"/>
          <w:divBdr>
            <w:top w:val="none" w:sz="0" w:space="0" w:color="auto"/>
            <w:left w:val="none" w:sz="0" w:space="0" w:color="auto"/>
            <w:bottom w:val="none" w:sz="0" w:space="0" w:color="auto"/>
            <w:right w:val="none" w:sz="0" w:space="0" w:color="auto"/>
          </w:divBdr>
        </w:div>
        <w:div w:id="640116837">
          <w:marLeft w:val="0"/>
          <w:marRight w:val="0"/>
          <w:marTop w:val="0"/>
          <w:marBottom w:val="0"/>
          <w:divBdr>
            <w:top w:val="none" w:sz="0" w:space="0" w:color="auto"/>
            <w:left w:val="none" w:sz="0" w:space="0" w:color="auto"/>
            <w:bottom w:val="none" w:sz="0" w:space="0" w:color="auto"/>
            <w:right w:val="none" w:sz="0" w:space="0" w:color="auto"/>
          </w:divBdr>
        </w:div>
        <w:div w:id="370347666">
          <w:marLeft w:val="0"/>
          <w:marRight w:val="0"/>
          <w:marTop w:val="0"/>
          <w:marBottom w:val="0"/>
          <w:divBdr>
            <w:top w:val="none" w:sz="0" w:space="0" w:color="auto"/>
            <w:left w:val="none" w:sz="0" w:space="0" w:color="auto"/>
            <w:bottom w:val="none" w:sz="0" w:space="0" w:color="auto"/>
            <w:right w:val="none" w:sz="0" w:space="0" w:color="auto"/>
          </w:divBdr>
        </w:div>
        <w:div w:id="264194138">
          <w:marLeft w:val="0"/>
          <w:marRight w:val="0"/>
          <w:marTop w:val="0"/>
          <w:marBottom w:val="0"/>
          <w:divBdr>
            <w:top w:val="none" w:sz="0" w:space="0" w:color="auto"/>
            <w:left w:val="none" w:sz="0" w:space="0" w:color="auto"/>
            <w:bottom w:val="none" w:sz="0" w:space="0" w:color="auto"/>
            <w:right w:val="none" w:sz="0" w:space="0" w:color="auto"/>
          </w:divBdr>
        </w:div>
        <w:div w:id="908005551">
          <w:marLeft w:val="0"/>
          <w:marRight w:val="0"/>
          <w:marTop w:val="0"/>
          <w:marBottom w:val="0"/>
          <w:divBdr>
            <w:top w:val="none" w:sz="0" w:space="0" w:color="auto"/>
            <w:left w:val="none" w:sz="0" w:space="0" w:color="auto"/>
            <w:bottom w:val="none" w:sz="0" w:space="0" w:color="auto"/>
            <w:right w:val="none" w:sz="0" w:space="0" w:color="auto"/>
          </w:divBdr>
        </w:div>
        <w:div w:id="420833967">
          <w:marLeft w:val="0"/>
          <w:marRight w:val="0"/>
          <w:marTop w:val="0"/>
          <w:marBottom w:val="0"/>
          <w:divBdr>
            <w:top w:val="none" w:sz="0" w:space="0" w:color="auto"/>
            <w:left w:val="none" w:sz="0" w:space="0" w:color="auto"/>
            <w:bottom w:val="none" w:sz="0" w:space="0" w:color="auto"/>
            <w:right w:val="none" w:sz="0" w:space="0" w:color="auto"/>
          </w:divBdr>
        </w:div>
        <w:div w:id="1603879326">
          <w:marLeft w:val="0"/>
          <w:marRight w:val="0"/>
          <w:marTop w:val="0"/>
          <w:marBottom w:val="0"/>
          <w:divBdr>
            <w:top w:val="none" w:sz="0" w:space="0" w:color="auto"/>
            <w:left w:val="none" w:sz="0" w:space="0" w:color="auto"/>
            <w:bottom w:val="none" w:sz="0" w:space="0" w:color="auto"/>
            <w:right w:val="none" w:sz="0" w:space="0" w:color="auto"/>
          </w:divBdr>
        </w:div>
        <w:div w:id="1427144057">
          <w:marLeft w:val="0"/>
          <w:marRight w:val="0"/>
          <w:marTop w:val="0"/>
          <w:marBottom w:val="0"/>
          <w:divBdr>
            <w:top w:val="none" w:sz="0" w:space="0" w:color="auto"/>
            <w:left w:val="none" w:sz="0" w:space="0" w:color="auto"/>
            <w:bottom w:val="none" w:sz="0" w:space="0" w:color="auto"/>
            <w:right w:val="none" w:sz="0" w:space="0" w:color="auto"/>
          </w:divBdr>
        </w:div>
        <w:div w:id="1069428845">
          <w:marLeft w:val="0"/>
          <w:marRight w:val="0"/>
          <w:marTop w:val="0"/>
          <w:marBottom w:val="0"/>
          <w:divBdr>
            <w:top w:val="none" w:sz="0" w:space="0" w:color="auto"/>
            <w:left w:val="none" w:sz="0" w:space="0" w:color="auto"/>
            <w:bottom w:val="none" w:sz="0" w:space="0" w:color="auto"/>
            <w:right w:val="none" w:sz="0" w:space="0" w:color="auto"/>
          </w:divBdr>
        </w:div>
        <w:div w:id="1412774620">
          <w:marLeft w:val="0"/>
          <w:marRight w:val="0"/>
          <w:marTop w:val="0"/>
          <w:marBottom w:val="0"/>
          <w:divBdr>
            <w:top w:val="none" w:sz="0" w:space="0" w:color="auto"/>
            <w:left w:val="none" w:sz="0" w:space="0" w:color="auto"/>
            <w:bottom w:val="none" w:sz="0" w:space="0" w:color="auto"/>
            <w:right w:val="none" w:sz="0" w:space="0" w:color="auto"/>
          </w:divBdr>
        </w:div>
        <w:div w:id="374701410">
          <w:marLeft w:val="0"/>
          <w:marRight w:val="0"/>
          <w:marTop w:val="0"/>
          <w:marBottom w:val="0"/>
          <w:divBdr>
            <w:top w:val="none" w:sz="0" w:space="0" w:color="auto"/>
            <w:left w:val="none" w:sz="0" w:space="0" w:color="auto"/>
            <w:bottom w:val="none" w:sz="0" w:space="0" w:color="auto"/>
            <w:right w:val="none" w:sz="0" w:space="0" w:color="auto"/>
          </w:divBdr>
        </w:div>
        <w:div w:id="1023094779">
          <w:marLeft w:val="0"/>
          <w:marRight w:val="0"/>
          <w:marTop w:val="0"/>
          <w:marBottom w:val="0"/>
          <w:divBdr>
            <w:top w:val="none" w:sz="0" w:space="0" w:color="auto"/>
            <w:left w:val="none" w:sz="0" w:space="0" w:color="auto"/>
            <w:bottom w:val="none" w:sz="0" w:space="0" w:color="auto"/>
            <w:right w:val="none" w:sz="0" w:space="0" w:color="auto"/>
          </w:divBdr>
        </w:div>
        <w:div w:id="1322347133">
          <w:marLeft w:val="0"/>
          <w:marRight w:val="0"/>
          <w:marTop w:val="0"/>
          <w:marBottom w:val="0"/>
          <w:divBdr>
            <w:top w:val="none" w:sz="0" w:space="0" w:color="auto"/>
            <w:left w:val="none" w:sz="0" w:space="0" w:color="auto"/>
            <w:bottom w:val="none" w:sz="0" w:space="0" w:color="auto"/>
            <w:right w:val="none" w:sz="0" w:space="0" w:color="auto"/>
          </w:divBdr>
        </w:div>
      </w:divsChild>
    </w:div>
    <w:div w:id="2015573243">
      <w:bodyDiv w:val="1"/>
      <w:marLeft w:val="0"/>
      <w:marRight w:val="0"/>
      <w:marTop w:val="0"/>
      <w:marBottom w:val="0"/>
      <w:divBdr>
        <w:top w:val="none" w:sz="0" w:space="0" w:color="auto"/>
        <w:left w:val="none" w:sz="0" w:space="0" w:color="auto"/>
        <w:bottom w:val="none" w:sz="0" w:space="0" w:color="auto"/>
        <w:right w:val="none" w:sz="0" w:space="0" w:color="auto"/>
      </w:divBdr>
      <w:divsChild>
        <w:div w:id="70086305">
          <w:marLeft w:val="0"/>
          <w:marRight w:val="0"/>
          <w:marTop w:val="0"/>
          <w:marBottom w:val="0"/>
          <w:divBdr>
            <w:top w:val="none" w:sz="0" w:space="0" w:color="auto"/>
            <w:left w:val="none" w:sz="0" w:space="0" w:color="auto"/>
            <w:bottom w:val="none" w:sz="0" w:space="0" w:color="auto"/>
            <w:right w:val="none" w:sz="0" w:space="0" w:color="auto"/>
          </w:divBdr>
        </w:div>
        <w:div w:id="1379165124">
          <w:marLeft w:val="0"/>
          <w:marRight w:val="0"/>
          <w:marTop w:val="0"/>
          <w:marBottom w:val="0"/>
          <w:divBdr>
            <w:top w:val="none" w:sz="0" w:space="0" w:color="auto"/>
            <w:left w:val="none" w:sz="0" w:space="0" w:color="auto"/>
            <w:bottom w:val="none" w:sz="0" w:space="0" w:color="auto"/>
            <w:right w:val="none" w:sz="0" w:space="0" w:color="auto"/>
          </w:divBdr>
        </w:div>
      </w:divsChild>
    </w:div>
    <w:div w:id="2109233422">
      <w:bodyDiv w:val="1"/>
      <w:marLeft w:val="0"/>
      <w:marRight w:val="0"/>
      <w:marTop w:val="0"/>
      <w:marBottom w:val="0"/>
      <w:divBdr>
        <w:top w:val="none" w:sz="0" w:space="0" w:color="auto"/>
        <w:left w:val="none" w:sz="0" w:space="0" w:color="auto"/>
        <w:bottom w:val="none" w:sz="0" w:space="0" w:color="auto"/>
        <w:right w:val="none" w:sz="0" w:space="0" w:color="auto"/>
      </w:divBdr>
      <w:divsChild>
        <w:div w:id="317343832">
          <w:marLeft w:val="0"/>
          <w:marRight w:val="0"/>
          <w:marTop w:val="0"/>
          <w:marBottom w:val="0"/>
          <w:divBdr>
            <w:top w:val="none" w:sz="0" w:space="0" w:color="auto"/>
            <w:left w:val="none" w:sz="0" w:space="0" w:color="auto"/>
            <w:bottom w:val="none" w:sz="0" w:space="0" w:color="auto"/>
            <w:right w:val="none" w:sz="0" w:space="0" w:color="auto"/>
          </w:divBdr>
        </w:div>
        <w:div w:id="1685748430">
          <w:marLeft w:val="0"/>
          <w:marRight w:val="0"/>
          <w:marTop w:val="0"/>
          <w:marBottom w:val="0"/>
          <w:divBdr>
            <w:top w:val="none" w:sz="0" w:space="0" w:color="auto"/>
            <w:left w:val="none" w:sz="0" w:space="0" w:color="auto"/>
            <w:bottom w:val="none" w:sz="0" w:space="0" w:color="auto"/>
            <w:right w:val="none" w:sz="0" w:space="0" w:color="auto"/>
          </w:divBdr>
        </w:div>
        <w:div w:id="1568807984">
          <w:marLeft w:val="0"/>
          <w:marRight w:val="0"/>
          <w:marTop w:val="0"/>
          <w:marBottom w:val="0"/>
          <w:divBdr>
            <w:top w:val="none" w:sz="0" w:space="0" w:color="auto"/>
            <w:left w:val="none" w:sz="0" w:space="0" w:color="auto"/>
            <w:bottom w:val="none" w:sz="0" w:space="0" w:color="auto"/>
            <w:right w:val="none" w:sz="0" w:space="0" w:color="auto"/>
          </w:divBdr>
        </w:div>
        <w:div w:id="1801261188">
          <w:marLeft w:val="0"/>
          <w:marRight w:val="0"/>
          <w:marTop w:val="0"/>
          <w:marBottom w:val="0"/>
          <w:divBdr>
            <w:top w:val="none" w:sz="0" w:space="0" w:color="auto"/>
            <w:left w:val="none" w:sz="0" w:space="0" w:color="auto"/>
            <w:bottom w:val="none" w:sz="0" w:space="0" w:color="auto"/>
            <w:right w:val="none" w:sz="0" w:space="0" w:color="auto"/>
          </w:divBdr>
        </w:div>
        <w:div w:id="91482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library/publications/the-world-factbook/docs/notesanddefs.html?fieldkey=2075&amp;alphaletter=E&amp;term=Ethnic%20groups" TargetMode="External"/><Relationship Id="rId18" Type="http://schemas.openxmlformats.org/officeDocument/2006/relationships/hyperlink" Target="https://www.cia.gov/library/publications/the-world-factbook/docs/notesanddefs.html?fieldkey=2010&amp;alphaletter=A&amp;term=Age%20structure" TargetMode="External"/><Relationship Id="rId26" Type="http://schemas.openxmlformats.org/officeDocument/2006/relationships/hyperlink" Target="https://www.cia.gov/library/publications/the-world-factbook/rankorder/2229rank.html?countryname=United%20Arab%20Emirates&amp;countrycode=ae&amp;regionCode=mde&amp;rank=99" TargetMode="External"/><Relationship Id="rId39" Type="http://schemas.openxmlformats.org/officeDocument/2006/relationships/hyperlink" Target="https://www.cia.gov/library/publications/the-world-factbook/docs/notesanddefs.html?fieldkey=2118&amp;alphaletter=P&amp;term=Political%20parties%20and%20leaders" TargetMode="External"/><Relationship Id="rId21" Type="http://schemas.openxmlformats.org/officeDocument/2006/relationships/hyperlink" Target="https://www.cia.gov/library/publications/the-world-factbook/docs/notesanddefs.html?fieldkey=2002&amp;alphaletter=P&amp;term=Population%20growth%20rate" TargetMode="External"/><Relationship Id="rId34" Type="http://schemas.openxmlformats.org/officeDocument/2006/relationships/hyperlink" Target="https://www.cia.gov/library/publications/the-world-factbook/docs/notesanddefs.html?fieldkey=2077&amp;alphaletter=E&amp;term=Executive%20branch" TargetMode="External"/><Relationship Id="rId42" Type="http://schemas.openxmlformats.org/officeDocument/2006/relationships/hyperlink" Target="https://www.cia.gov/library/publications/the-world-factbook/rankorder/2001rank.html?countryname=United%20Arab%20Emirates&amp;countrycode=ae&amp;regionCode=mde&amp;rank=50" TargetMode="External"/><Relationship Id="rId47" Type="http://schemas.openxmlformats.org/officeDocument/2006/relationships/hyperlink" Target="https://www.cia.gov/library/publications/the-world-factbook/docs/notesanddefs.html?fieldkey=2095&amp;alphaletter=L&amp;term=Labor%20force" TargetMode="External"/><Relationship Id="rId50" Type="http://schemas.openxmlformats.org/officeDocument/2006/relationships/hyperlink" Target="https://www.cia.gov/library/publications/the-world-factbook/docs/notesanddefs.html?fieldkey=2129&amp;alphaletter=U&amp;term=Unemployment%20rate" TargetMode="External"/><Relationship Id="rId55" Type="http://schemas.openxmlformats.org/officeDocument/2006/relationships/hyperlink" Target="https://www.cia.gov/library/publications/the-world-factbook/docs/notesanddefs.html?fieldkey=2049&amp;alphaletter=E&amp;term=Exports%20-%20commodities" TargetMode="External"/><Relationship Id="rId63" Type="http://schemas.openxmlformats.org/officeDocument/2006/relationships/hyperlink" Target="https://www.cia.gov/library/publications/the-world-factbook/docs/notesanddefs.html?fieldkey=2086&amp;alphaletter=I&amp;term=Illicit%20drugs" TargetMode="External"/><Relationship Id="rId7" Type="http://schemas.openxmlformats.org/officeDocument/2006/relationships/hyperlink" Target="https://www.cia.gov/library/publications/the-world-factbook/docs/notesanddefs.html?fieldkey=2059&amp;alphaletter=C&amp;term=Climate" TargetMode="External"/><Relationship Id="rId2" Type="http://schemas.openxmlformats.org/officeDocument/2006/relationships/settings" Target="settings.xml"/><Relationship Id="rId16" Type="http://schemas.openxmlformats.org/officeDocument/2006/relationships/hyperlink" Target="https://www.cia.gov/library/publications/the-world-factbook/docs/notesanddefs.html?fieldkey=2119&amp;alphaletter=P&amp;term=Population" TargetMode="External"/><Relationship Id="rId20" Type="http://schemas.openxmlformats.org/officeDocument/2006/relationships/image" Target="media/image2.jpeg"/><Relationship Id="rId29" Type="http://schemas.openxmlformats.org/officeDocument/2006/relationships/hyperlink" Target="https://www.cia.gov/library/publications/the-world-factbook/docs/notesanddefs.html?fieldkey=2051&amp;alphaletter=A&amp;term=Administrative%20divisions" TargetMode="External"/><Relationship Id="rId41" Type="http://schemas.openxmlformats.org/officeDocument/2006/relationships/hyperlink" Target="https://www.cia.gov/library/publications/the-world-factbook/docs/notesanddefs.html?fieldkey=2001&amp;alphaletter=G&amp;term=GDP%20(purchasing%20power%20parity)" TargetMode="External"/><Relationship Id="rId54" Type="http://schemas.openxmlformats.org/officeDocument/2006/relationships/hyperlink" Target="https://www.cia.gov/library/publications/the-world-factbook/rankorder/2078rank.html?countryname=United%20Arab%20Emirates&amp;countrycode=ae&amp;regionCode=mde&amp;rank=18" TargetMode="External"/><Relationship Id="rId62" Type="http://schemas.openxmlformats.org/officeDocument/2006/relationships/hyperlink" Target="https://www.cia.gov/library/publications/the-world-factbook/docs/notesanddefs.html?fieldkey=2070&amp;alphaletter=D&amp;term=Disputes%20-%20international" TargetMode="External"/><Relationship Id="rId1" Type="http://schemas.openxmlformats.org/officeDocument/2006/relationships/styles" Target="styles.xml"/><Relationship Id="rId6" Type="http://schemas.openxmlformats.org/officeDocument/2006/relationships/hyperlink" Target="https://www.cia.gov/library/publications/the-world-factbook/docs/notesanddefs.html?fieldkey=2144&amp;alphaletter=L&amp;term=Location" TargetMode="External"/><Relationship Id="rId11" Type="http://schemas.openxmlformats.org/officeDocument/2006/relationships/hyperlink" Target="https://www.cia.gov/library/publications/the-world-factbook/docs/notesanddefs.html?fieldkey=2032&amp;alphaletter=E&amp;term=Environment%20-%20current%20issues" TargetMode="External"/><Relationship Id="rId24" Type="http://schemas.openxmlformats.org/officeDocument/2006/relationships/hyperlink" Target="https://www.cia.gov/library/publications/the-world-factbook/docs/notesanddefs.html?fieldkey=2103&amp;alphaletter=L&amp;term=Literacy" TargetMode="External"/><Relationship Id="rId32" Type="http://schemas.openxmlformats.org/officeDocument/2006/relationships/hyperlink" Target="https://www.cia.gov/library/publications/the-world-factbook/docs/notesanddefs.html?fieldkey=2100&amp;alphaletter=L&amp;term=Legal%20system" TargetMode="External"/><Relationship Id="rId37" Type="http://schemas.openxmlformats.org/officeDocument/2006/relationships/hyperlink" Target="https://www.cia.gov/library/publications/the-world-factbook/docs/notesanddefs.html?fieldkey=2101&amp;alphaletter=L&amp;term=Legislative%20branch" TargetMode="External"/><Relationship Id="rId40" Type="http://schemas.openxmlformats.org/officeDocument/2006/relationships/hyperlink" Target="https://www.cia.gov/library/publications/the-world-factbook/docs/notesanddefs.html?fieldkey=2116&amp;alphaletter=E&amp;term=Economy%20-%20overview" TargetMode="External"/><Relationship Id="rId45" Type="http://schemas.openxmlformats.org/officeDocument/2006/relationships/hyperlink" Target="https://www.cia.gov/library/publications/the-world-factbook/docs/notesanddefs.html?fieldkey=2052&amp;alphaletter=A&amp;term=Agriculture%20-%20products" TargetMode="External"/><Relationship Id="rId53" Type="http://schemas.openxmlformats.org/officeDocument/2006/relationships/hyperlink" Target="https://www.cia.gov/library/publications/the-world-factbook/docs/notesanddefs.html?fieldkey=2078&amp;alphaletter=E&amp;term=Exports" TargetMode="External"/><Relationship Id="rId58" Type="http://schemas.openxmlformats.org/officeDocument/2006/relationships/hyperlink" Target="https://www.cia.gov/library/publications/the-world-factbook/rankorder/2087rank.html?countryname=United%20Arab%20Emirates&amp;countrycode=ae&amp;regionCode=mde&amp;rank=21" TargetMode="External"/><Relationship Id="rId5" Type="http://schemas.openxmlformats.org/officeDocument/2006/relationships/image" Target="media/image1.gif"/><Relationship Id="rId15" Type="http://schemas.openxmlformats.org/officeDocument/2006/relationships/hyperlink" Target="https://www.cia.gov/library/publications/the-world-factbook/docs/notesanddefs.html?fieldkey=2122&amp;alphaletter=R&amp;term=Religions" TargetMode="External"/><Relationship Id="rId23" Type="http://schemas.openxmlformats.org/officeDocument/2006/relationships/hyperlink" Target="https://www.cia.gov/library/publications/the-world-factbook/docs/notesanddefs.html?fieldkey=2212&amp;alphaletter=U&amp;term=Urbanization" TargetMode="External"/><Relationship Id="rId28" Type="http://schemas.openxmlformats.org/officeDocument/2006/relationships/hyperlink" Target="https://www.cia.gov/library/publications/the-world-factbook/docs/notesanddefs.html?fieldkey=2057&amp;alphaletter=C&amp;term=Capital" TargetMode="External"/><Relationship Id="rId36" Type="http://schemas.openxmlformats.org/officeDocument/2006/relationships/image" Target="media/image3.gif"/><Relationship Id="rId49" Type="http://schemas.openxmlformats.org/officeDocument/2006/relationships/hyperlink" Target="https://www.cia.gov/library/publications/the-world-factbook/docs/notesanddefs.html?fieldkey=2048&amp;alphaletter=L&amp;term=Labor%20force%20-%20by%20occupation" TargetMode="External"/><Relationship Id="rId57" Type="http://schemas.openxmlformats.org/officeDocument/2006/relationships/hyperlink" Target="https://www.cia.gov/library/publications/the-world-factbook/docs/notesanddefs.html?fieldkey=2087&amp;alphaletter=I&amp;term=Imports" TargetMode="External"/><Relationship Id="rId61" Type="http://schemas.openxmlformats.org/officeDocument/2006/relationships/hyperlink" Target="javascript:void();" TargetMode="External"/><Relationship Id="rId10" Type="http://schemas.openxmlformats.org/officeDocument/2006/relationships/hyperlink" Target="https://www.cia.gov/library/publications/the-world-factbook/docs/notesanddefs.html?fieldkey=2021&amp;alphaletter=N&amp;term=Natural%20hazards" TargetMode="External"/><Relationship Id="rId19" Type="http://schemas.openxmlformats.org/officeDocument/2006/relationships/hyperlink" Target="javascript:void();" TargetMode="External"/><Relationship Id="rId31" Type="http://schemas.openxmlformats.org/officeDocument/2006/relationships/hyperlink" Target="https://www.cia.gov/library/publications/the-world-factbook/docs/notesanddefs.html?fieldkey=2063&amp;alphaletter=C&amp;term=Constitution" TargetMode="External"/><Relationship Id="rId44" Type="http://schemas.openxmlformats.org/officeDocument/2006/relationships/hyperlink" Target="https://www.cia.gov/library/publications/the-world-factbook/rankorder/2004rank.html?countryname=United%20Arab%20Emirates&amp;countrycode=ae&amp;regionCode=mde&amp;rank=48" TargetMode="External"/><Relationship Id="rId52" Type="http://schemas.openxmlformats.org/officeDocument/2006/relationships/hyperlink" Target="https://www.cia.gov/library/publications/the-world-factbook/docs/notesanddefs.html?fieldkey=2046&amp;alphaletter=P&amp;term=Population%20below%20poverty%20line" TargetMode="External"/><Relationship Id="rId60" Type="http://schemas.openxmlformats.org/officeDocument/2006/relationships/hyperlink" Target="https://www.cia.gov/library/publications/the-world-factbook/docs/notesanddefs.html?fieldkey=2061&amp;alphaletter=I&amp;term=Imports%20-%20partners" TargetMode="External"/><Relationship Id="rId65" Type="http://schemas.openxmlformats.org/officeDocument/2006/relationships/theme" Target="theme/theme1.xml"/><Relationship Id="rId4" Type="http://schemas.openxmlformats.org/officeDocument/2006/relationships/hyperlink" Target="https://www.cia.gov/library/publications/the-world-factbook/docs/notesanddefs.html?fieldkey=2028&amp;alphaletter=B&amp;term=Background" TargetMode="External"/><Relationship Id="rId9" Type="http://schemas.openxmlformats.org/officeDocument/2006/relationships/hyperlink" Target="https://www.cia.gov/library/publications/the-world-factbook/docs/notesanddefs.html?fieldkey=2111&amp;alphaletter=N&amp;term=Natural%20resources" TargetMode="External"/><Relationship Id="rId14" Type="http://schemas.openxmlformats.org/officeDocument/2006/relationships/hyperlink" Target="https://www.cia.gov/library/publications/the-world-factbook/docs/notesanddefs.html?fieldkey=2098&amp;alphaletter=L&amp;term=Languages" TargetMode="External"/><Relationship Id="rId22" Type="http://schemas.openxmlformats.org/officeDocument/2006/relationships/hyperlink" Target="https://www.cia.gov/library/publications/the-world-factbook/rankorder/2002rank.html?countryname=United%20Arab%20Emirates&amp;countrycode=ae&amp;regionCode=mde&amp;rank=14" TargetMode="External"/><Relationship Id="rId27" Type="http://schemas.openxmlformats.org/officeDocument/2006/relationships/hyperlink" Target="https://www.cia.gov/library/publications/the-world-factbook/docs/notesanddefs.html?fieldkey=2128&amp;alphaletter=G&amp;term=Government%20type" TargetMode="External"/><Relationship Id="rId30" Type="http://schemas.openxmlformats.org/officeDocument/2006/relationships/hyperlink" Target="https://www.cia.gov/library/publications/the-world-factbook/docs/notesanddefs.html?fieldkey=2088&amp;alphaletter=I&amp;term=Independence" TargetMode="External"/><Relationship Id="rId35" Type="http://schemas.openxmlformats.org/officeDocument/2006/relationships/hyperlink" Target="https://www.cia.gov/library/publications/world-leaders-1/AE.html" TargetMode="External"/><Relationship Id="rId43" Type="http://schemas.openxmlformats.org/officeDocument/2006/relationships/hyperlink" Target="https://www.cia.gov/library/publications/the-world-factbook/docs/notesanddefs.html?fieldkey=2004&amp;alphaletter=G&amp;term=GDP%20-%20per%20capita%20(PPP)" TargetMode="External"/><Relationship Id="rId48" Type="http://schemas.openxmlformats.org/officeDocument/2006/relationships/hyperlink" Target="https://www.cia.gov/library/publications/the-world-factbook/rankorder/2095rank.html?countryname=United%20Arab%20Emirates&amp;countrycode=ae&amp;regionCode=mde&amp;rank=84" TargetMode="External"/><Relationship Id="rId56" Type="http://schemas.openxmlformats.org/officeDocument/2006/relationships/hyperlink" Target="https://www.cia.gov/library/publications/the-world-factbook/docs/notesanddefs.html?fieldkey=2050&amp;alphaletter=E&amp;term=Exports%20-%20partners" TargetMode="External"/><Relationship Id="rId64" Type="http://schemas.openxmlformats.org/officeDocument/2006/relationships/fontTable" Target="fontTable.xml"/><Relationship Id="rId8" Type="http://schemas.openxmlformats.org/officeDocument/2006/relationships/hyperlink" Target="https://www.cia.gov/library/publications/the-world-factbook/docs/notesanddefs.html?fieldkey=2125&amp;alphaletter=T&amp;term=Terrain" TargetMode="External"/><Relationship Id="rId51" Type="http://schemas.openxmlformats.org/officeDocument/2006/relationships/hyperlink" Target="https://www.cia.gov/library/publications/the-world-factbook/rankorder/2129rank.html?countryname=United%20Arab%20Emirates&amp;countrycode=ae&amp;regionCode=mde&amp;rank=16" TargetMode="External"/><Relationship Id="rId3" Type="http://schemas.openxmlformats.org/officeDocument/2006/relationships/webSettings" Target="webSettings.xml"/><Relationship Id="rId12" Type="http://schemas.openxmlformats.org/officeDocument/2006/relationships/hyperlink" Target="https://www.cia.gov/library/publications/the-world-factbook/docs/notesanddefs.html?fieldkey=2113&amp;alphaletter=G&amp;term=Geography%20-%20note" TargetMode="External"/><Relationship Id="rId17" Type="http://schemas.openxmlformats.org/officeDocument/2006/relationships/hyperlink" Target="https://www.cia.gov/library/publications/the-world-factbook/rankorder/2119rank.html?countryname=United%20Arab%20Emirates&amp;countrycode=ae&amp;regionCode=mde&amp;rank=115" TargetMode="External"/><Relationship Id="rId25" Type="http://schemas.openxmlformats.org/officeDocument/2006/relationships/hyperlink" Target="https://www.cia.gov/library/publications/the-world-factbook/docs/notesanddefs.html?fieldkey=2229&amp;alphaletter=U&amp;term=Unemployment,%20youth%20ages%2015-24" TargetMode="External"/><Relationship Id="rId33" Type="http://schemas.openxmlformats.org/officeDocument/2006/relationships/hyperlink" Target="https://www.cia.gov/library/publications/the-world-factbook/docs/notesanddefs.html?fieldkey=2123&amp;alphaletter=S&amp;term=Suffrage" TargetMode="External"/><Relationship Id="rId38" Type="http://schemas.openxmlformats.org/officeDocument/2006/relationships/hyperlink" Target="https://www.cia.gov/library/publications/the-world-factbook/docs/notesanddefs.html?fieldkey=2094&amp;alphaletter=J&amp;term=Judicial%20branch" TargetMode="External"/><Relationship Id="rId46" Type="http://schemas.openxmlformats.org/officeDocument/2006/relationships/hyperlink" Target="https://www.cia.gov/library/publications/the-world-factbook/docs/notesanddefs.html?fieldkey=2090&amp;alphaletter=I&amp;term=Industries" TargetMode="External"/><Relationship Id="rId59" Type="http://schemas.openxmlformats.org/officeDocument/2006/relationships/hyperlink" Target="https://www.cia.gov/library/publications/the-world-factbook/docs/notesanddefs.html?fieldkey=2058&amp;alphaletter=I&amp;term=Imports%20-%20commod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3</cp:revision>
  <dcterms:created xsi:type="dcterms:W3CDTF">2014-03-10T06:48:00Z</dcterms:created>
  <dcterms:modified xsi:type="dcterms:W3CDTF">2014-03-10T09:00:00Z</dcterms:modified>
</cp:coreProperties>
</file>